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F418" w14:textId="1B14AFD5" w:rsidR="00254DE9" w:rsidRDefault="00000000" w:rsidP="00460A3D">
      <w:pPr>
        <w:spacing w:after="40"/>
        <w:rPr>
          <w:b/>
          <w:color w:val="1A365D"/>
          <w:sz w:val="44"/>
        </w:rPr>
      </w:pPr>
      <w:r>
        <w:rPr>
          <w:b/>
          <w:color w:val="1A365D"/>
          <w:sz w:val="44"/>
        </w:rPr>
        <w:t>Dynamic Survival Blending via Information Geometry and Relative Uncertainty</w:t>
      </w:r>
    </w:p>
    <w:p w14:paraId="23B70E18" w14:textId="477CB484" w:rsidR="00B30B94" w:rsidRDefault="00B30B94" w:rsidP="00460A3D">
      <w:pPr>
        <w:spacing w:after="40"/>
      </w:pPr>
      <w:hyperlink r:id="rId6" w:history="1">
        <w:r w:rsidRPr="00300889">
          <w:rPr>
            <w:rStyle w:val="Hyperlink"/>
          </w:rPr>
          <w:t>https://share.gemini.google/IGTnWJHCKeQD</w:t>
        </w:r>
      </w:hyperlink>
    </w:p>
    <w:p w14:paraId="3A40D94A" w14:textId="77777777" w:rsidR="00B30B94" w:rsidRDefault="00B30B94" w:rsidP="00460A3D">
      <w:pPr>
        <w:spacing w:after="40"/>
      </w:pPr>
    </w:p>
    <w:p w14:paraId="261F29E4" w14:textId="77777777" w:rsidR="00254DE9" w:rsidRDefault="00000000">
      <w:pPr>
        <w:keepNext/>
        <w:pBdr>
          <w:bottom w:val="single" w:sz="12" w:space="4" w:color="2B6CB0"/>
        </w:pBdr>
        <w:spacing w:before="320" w:after="120"/>
      </w:pPr>
      <w:r>
        <w:rPr>
          <w:b/>
          <w:color w:val="1A365D"/>
          <w:sz w:val="36"/>
        </w:rPr>
        <w:t>1. Introduction and Background</w:t>
      </w:r>
    </w:p>
    <w:p w14:paraId="1496E7B9" w14:textId="77777777" w:rsidR="00254DE9" w:rsidRDefault="00000000">
      <w:r>
        <w:t>In health technology assessment (HTA), economic evaluations of life-extending therapies typically adopt a lifetime analytic horizon. For immuno-oncology (IO) agents, chimeric antigen receptor T-cell (CAR-T) therapies, and advanced therapeutic medicinal products (ATMPs), randomized controlled trial (RCT) follow-up is frequently immature at the time of initial appraisal. Furthermore, conventional extrapolation techniques—which assume that relative treatment effects (e.g., constant proportional hazard ratios) persist indefinitely—fail to capture clinical dynamics such as administrative stopping rules and gradual treatment effect waning.</w:t>
      </w:r>
    </w:p>
    <w:p w14:paraId="7C445A27" w14:textId="77777777" w:rsidR="00254DE9" w:rsidRDefault="00000000">
      <w:r>
        <w:t>To resolve these challenges without imposing abrupt, clinically implausible step-changes in hazard rates, Che et al. (2023) and Zhu et al. (2026) introduced the blended survival and hazard extrapolation frameworks. Under this paradigm, an arm-specific model fitted to internal trial data is smoothly transitioned into an external model informed by mature, long-term registry or standard-of-care data across a pre-specified time interval [t1, t2]:</w:t>
      </w:r>
    </w:p>
    <w:p w14:paraId="654381FA" w14:textId="0B482FD0" w:rsidR="00254DE9" w:rsidRDefault="0093457E">
      <w:pPr>
        <w:spacing w:before="80"/>
        <w:ind w:left="720"/>
      </w:pPr>
      <m:oMathPara>
        <m:oMath>
          <m:sSub>
            <m:sSubPr>
              <m:ctrlPr>
                <w:rPr>
                  <w:rFonts w:ascii="Cambria Math" w:hAnsi="Cambria Math"/>
                  <w:color w:val="1A365D"/>
                </w:rPr>
              </m:ctrlPr>
            </m:sSubPr>
            <m:e>
              <m:r>
                <w:rPr>
                  <w:rFonts w:ascii="Cambria Math" w:hAnsi="Cambria Math"/>
                  <w:color w:val="1A365D"/>
                </w:rPr>
                <m:t>S</m:t>
              </m:r>
            </m:e>
            <m:sub>
              <m:r>
                <w:rPr>
                  <w:rFonts w:ascii="Cambria Math" w:hAnsi="Cambria Math"/>
                  <w:color w:val="1A365D"/>
                </w:rPr>
                <m:t>b</m:t>
              </m:r>
            </m:sub>
          </m:sSub>
          <m:r>
            <w:rPr>
              <w:rFonts w:ascii="Cambria Math" w:hAnsi="Cambria Math"/>
              <w:color w:val="1A365D"/>
            </w:rPr>
            <m:t>lend</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d>
            <m:dPr>
              <m:begChr m:val="["/>
              <m:endChr m:val="]"/>
              <m:ctrlPr>
                <w:rPr>
                  <w:rFonts w:ascii="Cambria Math" w:hAnsi="Cambria Math"/>
                  <w:color w:val="1A365D"/>
                </w:rPr>
              </m:ctrlPr>
            </m:dPr>
            <m:e>
              <m:r>
                <w:rPr>
                  <w:rFonts w:ascii="Cambria Math" w:hAnsi="Cambria Math"/>
                  <w:color w:val="1A365D"/>
                </w:rPr>
                <m:t>1-π</m:t>
              </m:r>
              <m:d>
                <m:dPr>
                  <m:ctrlPr>
                    <w:rPr>
                      <w:rFonts w:ascii="Cambria Math" w:hAnsi="Cambria Math"/>
                      <w:color w:val="1A365D"/>
                    </w:rPr>
                  </m:ctrlPr>
                </m:dPr>
                <m:e>
                  <m:r>
                    <w:rPr>
                      <w:rFonts w:ascii="Cambria Math" w:hAnsi="Cambria Math"/>
                      <w:color w:val="1A365D"/>
                    </w:rPr>
                    <m:t>t</m:t>
                  </m:r>
                </m:e>
              </m:d>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S</m:t>
              </m:r>
            </m:e>
            <m:sub>
              <m:r>
                <w:rPr>
                  <w:rFonts w:ascii="Cambria Math" w:hAnsi="Cambria Math"/>
                  <w:color w:val="1A365D"/>
                </w:rPr>
                <m:t>i</m:t>
              </m:r>
            </m:sub>
          </m:sSub>
          <m:r>
            <w:rPr>
              <w:rFonts w:ascii="Cambria Math" w:hAnsi="Cambria Math"/>
              <w:color w:val="1A365D"/>
            </w:rPr>
            <m:t>nt</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+π</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S</m:t>
              </m:r>
            </m:e>
            <m:sub>
              <m:r>
                <w:rPr>
                  <w:rFonts w:ascii="Cambria Math" w:hAnsi="Cambria Math"/>
                  <w:color w:val="1A365D"/>
                </w:rPr>
                <m:t>e</m:t>
              </m:r>
            </m:sub>
          </m:sSub>
          <m:r>
            <w:rPr>
              <w:rFonts w:ascii="Cambria Math" w:hAnsi="Cambria Math"/>
              <w:color w:val="1A365D"/>
            </w:rPr>
            <m:t>xt</m:t>
          </m:r>
          <m:d>
            <m:dPr>
              <m:ctrlPr>
                <w:rPr>
                  <w:rFonts w:ascii="Cambria Math" w:hAnsi="Cambria Math"/>
                  <w:color w:val="1A365D"/>
                </w:rPr>
              </m:ctrlPr>
            </m:dPr>
            <m:e>
              <m:r>
                <w:rPr>
                  <w:rFonts w:ascii="Cambria Math" w:hAnsi="Cambria Math"/>
                  <w:color w:val="1A365D"/>
                </w:rPr>
                <m:t>t</m:t>
              </m:r>
            </m:e>
          </m:d>
        </m:oMath>
      </m:oMathPara>
    </w:p>
    <w:p w14:paraId="69DE3EBE" w14:textId="77777777" w:rsidR="00254DE9" w:rsidRDefault="00000000">
      <w:r>
        <w:t>In existing implementations, the weight schedule π(t) is modeled using the cumulative distribution function of a Beta(a, b) distribution evaluated at (t - t1) / (t2 - t1). While mathematically continuous, standard blended extrapolation introduces a major methodological drawback: it relies on four subjective user-specified parameters (t1, t2, a, b). As Zhu et al. (2026) explicitly observe, the shape parameters a and b have no direct physical or biological interpretation and cannot be informed by clinical evidence. Consequently, varying (a, b) across sensitivity scenarios can dramatically swing restricted mean survival times (RMST) and incremental cost-effectiveness ratios (ICERs), exposing submissions to committee criticism.</w:t>
      </w:r>
    </w:p>
    <w:tbl>
      <w:tblPr>
        <w:tblW w:w="0" w:type="auto"/>
        <w:jc w:val="center"/>
        <w:tblLayout w:type="fixed"/>
        <w:tblLook w:val="04A0" w:firstRow="1" w:lastRow="0" w:firstColumn="1" w:lastColumn="0" w:noHBand="0" w:noVBand="1"/>
      </w:tblPr>
      <w:tblGrid>
        <w:gridCol w:w="9360"/>
      </w:tblGrid>
      <w:tr w:rsidR="00254DE9" w14:paraId="11C97AA4" w14:textId="77777777">
        <w:trPr>
          <w:jc w:val="center"/>
        </w:trPr>
        <w:tc>
          <w:tcPr>
            <w:tcW w:w="9360" w:type="dxa"/>
            <w:tcBorders>
              <w:left w:val="single" w:sz="36" w:space="0" w:color="1A365D"/>
            </w:tcBorders>
            <w:shd w:val="clear" w:color="auto" w:fill="F7FAFC"/>
            <w:tcMar>
              <w:top w:w="120" w:type="dxa"/>
              <w:left w:w="180" w:type="dxa"/>
              <w:bottom w:w="120" w:type="dxa"/>
              <w:right w:w="180" w:type="dxa"/>
            </w:tcMar>
          </w:tcPr>
          <w:p w14:paraId="0E19E095" w14:textId="77777777" w:rsidR="00254DE9" w:rsidRDefault="00000000">
            <w:pPr>
              <w:spacing w:after="40"/>
            </w:pPr>
            <w:r>
              <w:rPr>
                <w:b/>
                <w:color w:val="1A365D"/>
                <w:sz w:val="21"/>
              </w:rPr>
              <w:t xml:space="preserve">CORE INNOVATION: </w:t>
            </w:r>
            <w:r>
              <w:rPr>
                <w:sz w:val="21"/>
              </w:rPr>
              <w:t>Rather than forcing an arbitrary, textbook Beta curve onto the extrapolation, the transition rate should be self-calibrating. The blending schedule must be governed by the empirical distance between the curves and the relative statistical uncertainty (precision loss) of the internal trial model.</w:t>
            </w:r>
          </w:p>
        </w:tc>
      </w:tr>
    </w:tbl>
    <w:p w14:paraId="79729621" w14:textId="77777777" w:rsidR="00254DE9" w:rsidRDefault="00254DE9"/>
    <w:p w14:paraId="3BF664CD" w14:textId="77777777" w:rsidR="00254DE9" w:rsidRDefault="00000000">
      <w:pPr>
        <w:keepNext/>
        <w:pBdr>
          <w:bottom w:val="single" w:sz="12" w:space="4" w:color="2B6CB0"/>
        </w:pBdr>
        <w:spacing w:before="320" w:after="120"/>
      </w:pPr>
      <w:r>
        <w:rPr>
          <w:b/>
          <w:color w:val="1A365D"/>
          <w:sz w:val="36"/>
        </w:rPr>
        <w:lastRenderedPageBreak/>
        <w:t>2. Mathematical Formulations of Dynamic Blending</w:t>
      </w:r>
    </w:p>
    <w:p w14:paraId="7685ED34" w14:textId="77777777" w:rsidR="00254DE9" w:rsidRDefault="00000000">
      <w:r>
        <w:t>Let S_obs(t) and S_ext(t) represent the survival point estimates at time t ∈ [t1, t2] for the extrapolated trial and external reference models, respectively, with associated asymptotic standard errors σ_obs(t) and σ_ext(t) obtained via the delta method on the complementary log-log scale. At each time point t, we represent the state of epistemic belief regarding survival as univariate Gaussian predictive distributions:</w:t>
      </w:r>
    </w:p>
    <w:p w14:paraId="0AE9D0D7" w14:textId="529AD8A0" w:rsidR="00254DE9" w:rsidRDefault="0093457E">
      <w:pPr>
        <w:spacing w:before="80"/>
        <w:ind w:left="720"/>
      </w:pPr>
      <m:oMathPara>
        <m:oMath>
          <m:sSub>
            <m:sSubPr>
              <m:ctrlPr>
                <w:rPr>
                  <w:rFonts w:ascii="Cambria Math" w:hAnsi="Cambria Math"/>
                  <w:color w:val="1A365D"/>
                </w:rPr>
              </m:ctrlPr>
            </m:sSubPr>
            <m:e>
              <m:r>
                <w:rPr>
                  <w:rFonts w:ascii="Cambria Math" w:hAnsi="Cambria Math"/>
                  <w:color w:val="1A365D"/>
                </w:rPr>
                <m:t>P</m:t>
              </m:r>
            </m:e>
            <m:sub>
              <m:r>
                <w:rPr>
                  <w:rFonts w:ascii="Cambria Math" w:hAnsi="Cambria Math"/>
                  <w:color w:val="1A365D"/>
                </w:rPr>
                <m:t>o</m:t>
              </m:r>
            </m:sub>
          </m:sSub>
          <m:r>
            <w:rPr>
              <w:rFonts w:ascii="Cambria Math" w:hAnsi="Cambria Math"/>
              <w:color w:val="1A365D"/>
            </w:rPr>
            <m:t>bs,t N</m:t>
          </m:r>
          <m:d>
            <m:dPr>
              <m:ctrlPr>
                <w:rPr>
                  <w:rFonts w:ascii="Cambria Math" w:hAnsi="Cambria Math"/>
                  <w:color w:val="1A365D"/>
                </w:rPr>
              </m:ctrlPr>
            </m:dPr>
            <m:e>
              <m:sSub>
                <m:sSubPr>
                  <m:ctrlPr>
                    <w:rPr>
                      <w:rFonts w:ascii="Cambria Math" w:hAnsi="Cambria Math"/>
                      <w:color w:val="1A365D"/>
                    </w:rPr>
                  </m:ctrlPr>
                </m:sSubPr>
                <m:e>
                  <m:r>
                    <w:rPr>
                      <w:rFonts w:ascii="Cambria Math" w:hAnsi="Cambria Math"/>
                      <w:color w:val="1A365D"/>
                    </w:rPr>
                    <m:t>S</m:t>
                  </m:r>
                </m:e>
                <m:sub>
                  <m:r>
                    <w:rPr>
                      <w:rFonts w:ascii="Cambria Math" w:hAnsi="Cambria Math"/>
                      <w:color w:val="1A365D"/>
                    </w:rPr>
                    <m:t>o</m:t>
                  </m:r>
                </m:sub>
              </m:sSub>
              <m:r>
                <w:rPr>
                  <w:rFonts w:ascii="Cambria Math" w:hAnsi="Cambria Math"/>
                  <w:color w:val="1A365D"/>
                </w:rPr>
                <m:t>bs</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σ</m:t>
                  </m:r>
                </m:e>
                <m:sub>
                  <m:r>
                    <w:rPr>
                      <w:rFonts w:ascii="Cambria Math" w:hAnsi="Cambria Math"/>
                      <w:color w:val="1A365D"/>
                    </w:rPr>
                    <m:t>o</m:t>
                  </m:r>
                </m:sub>
              </m:sSub>
              <m:r>
                <w:rPr>
                  <w:rFonts w:ascii="Cambria Math" w:hAnsi="Cambria Math"/>
                  <w:color w:val="1A365D"/>
                </w:rPr>
                <m:t>bs²</m:t>
              </m:r>
              <m:d>
                <m:dPr>
                  <m:ctrlPr>
                    <w:rPr>
                      <w:rFonts w:ascii="Cambria Math" w:hAnsi="Cambria Math"/>
                      <w:color w:val="1A365D"/>
                    </w:rPr>
                  </m:ctrlPr>
                </m:dPr>
                <m:e>
                  <m:r>
                    <w:rPr>
                      <w:rFonts w:ascii="Cambria Math" w:hAnsi="Cambria Math"/>
                      <w:color w:val="1A365D"/>
                    </w:rPr>
                    <m:t>t</m:t>
                  </m:r>
                </m:e>
              </m:d>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P</m:t>
              </m:r>
            </m:e>
            <m:sub>
              <m:r>
                <w:rPr>
                  <w:rFonts w:ascii="Cambria Math" w:hAnsi="Cambria Math"/>
                  <w:color w:val="1A365D"/>
                </w:rPr>
                <m:t>e</m:t>
              </m:r>
            </m:sub>
          </m:sSub>
          <m:r>
            <w:rPr>
              <w:rFonts w:ascii="Cambria Math" w:hAnsi="Cambria Math"/>
              <w:color w:val="1A365D"/>
            </w:rPr>
            <m:t>xt,t N</m:t>
          </m:r>
          <m:d>
            <m:dPr>
              <m:ctrlPr>
                <w:rPr>
                  <w:rFonts w:ascii="Cambria Math" w:hAnsi="Cambria Math"/>
                  <w:color w:val="1A365D"/>
                </w:rPr>
              </m:ctrlPr>
            </m:dPr>
            <m:e>
              <m:sSub>
                <m:sSubPr>
                  <m:ctrlPr>
                    <w:rPr>
                      <w:rFonts w:ascii="Cambria Math" w:hAnsi="Cambria Math"/>
                      <w:color w:val="1A365D"/>
                    </w:rPr>
                  </m:ctrlPr>
                </m:sSubPr>
                <m:e>
                  <m:r>
                    <w:rPr>
                      <w:rFonts w:ascii="Cambria Math" w:hAnsi="Cambria Math"/>
                      <w:color w:val="1A365D"/>
                    </w:rPr>
                    <m:t>S</m:t>
                  </m:r>
                </m:e>
                <m:sub>
                  <m:r>
                    <w:rPr>
                      <w:rFonts w:ascii="Cambria Math" w:hAnsi="Cambria Math"/>
                      <w:color w:val="1A365D"/>
                    </w:rPr>
                    <m:t>e</m:t>
                  </m:r>
                </m:sub>
              </m:sSub>
              <m:r>
                <w:rPr>
                  <w:rFonts w:ascii="Cambria Math" w:hAnsi="Cambria Math"/>
                  <w:color w:val="1A365D"/>
                </w:rPr>
                <m:t>xt</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σ</m:t>
                  </m:r>
                </m:e>
                <m:sub>
                  <m:r>
                    <w:rPr>
                      <w:rFonts w:ascii="Cambria Math" w:hAnsi="Cambria Math"/>
                      <w:color w:val="1A365D"/>
                    </w:rPr>
                    <m:t>e</m:t>
                  </m:r>
                </m:sub>
              </m:sSub>
              <m:r>
                <w:rPr>
                  <w:rFonts w:ascii="Cambria Math" w:hAnsi="Cambria Math"/>
                  <w:color w:val="1A365D"/>
                </w:rPr>
                <m:t>xt²</m:t>
              </m:r>
              <m:d>
                <m:dPr>
                  <m:ctrlPr>
                    <w:rPr>
                      <w:rFonts w:ascii="Cambria Math" w:hAnsi="Cambria Math"/>
                      <w:color w:val="1A365D"/>
                    </w:rPr>
                  </m:ctrlPr>
                </m:dPr>
                <m:e>
                  <m:r>
                    <w:rPr>
                      <w:rFonts w:ascii="Cambria Math" w:hAnsi="Cambria Math"/>
                      <w:color w:val="1A365D"/>
                    </w:rPr>
                    <m:t>t</m:t>
                  </m:r>
                </m:e>
              </m:d>
            </m:e>
          </m:d>
        </m:oMath>
      </m:oMathPara>
    </w:p>
    <w:p w14:paraId="46FD7FC7" w14:textId="77777777" w:rsidR="00254DE9" w:rsidRDefault="00000000">
      <w:pPr>
        <w:keepNext/>
        <w:spacing w:before="240"/>
      </w:pPr>
      <w:r>
        <w:rPr>
          <w:b/>
          <w:color w:val="2B6CB0"/>
          <w:sz w:val="28"/>
        </w:rPr>
        <w:t>2.1 Approach 1: Dynamic Divergence Clock (Speedometer)</w:t>
      </w:r>
    </w:p>
    <w:p w14:paraId="061BCD90" w14:textId="77777777" w:rsidR="00254DE9" w:rsidRDefault="00000000">
      <w:r>
        <w:t>In Approach 1, the instantaneous information discrepancy between the observed trial model and the external anchor is quantified by the directed Kullback–Leibler (KL) divergence from P_obs,t to P_ext,t. For two Gaussian distributions, this yields the closed-form expression:</w:t>
      </w:r>
    </w:p>
    <w:p w14:paraId="73A9BFBD" w14:textId="11B5ECFC" w:rsidR="00254DE9" w:rsidRDefault="0093457E">
      <w:pPr>
        <w:spacing w:before="80"/>
        <w:ind w:left="720"/>
      </w:pPr>
      <m:oMathPara>
        <m:oMath>
          <m:sSub>
            <m:sSubPr>
              <m:ctrlPr>
                <w:rPr>
                  <w:rFonts w:ascii="Cambria Math" w:hAnsi="Cambria Math"/>
                  <w:color w:val="1A365D"/>
                </w:rPr>
              </m:ctrlPr>
            </m:sSubPr>
            <m:e>
              <m:r>
                <w:rPr>
                  <w:rFonts w:ascii="Cambria Math" w:hAnsi="Cambria Math"/>
                  <w:color w:val="1A365D"/>
                </w:rPr>
                <m:t>D</m:t>
              </m:r>
            </m:e>
            <m:sub>
              <m:r>
                <w:rPr>
                  <w:rFonts w:ascii="Cambria Math" w:hAnsi="Cambria Math"/>
                  <w:color w:val="1A365D"/>
                </w:rPr>
                <m:t>K</m:t>
              </m:r>
            </m:sub>
          </m:sSub>
          <m:r>
            <w:rPr>
              <w:rFonts w:ascii="Cambria Math" w:hAnsi="Cambria Math"/>
              <w:color w:val="1A365D"/>
            </w:rPr>
            <m:t>L</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=0.5·</m:t>
          </m:r>
          <m:d>
            <m:dPr>
              <m:begChr m:val="["/>
              <m:endChr m:val="]"/>
              <m:ctrlPr>
                <w:rPr>
                  <w:rFonts w:ascii="Cambria Math" w:hAnsi="Cambria Math"/>
                  <w:color w:val="1A365D"/>
                </w:rPr>
              </m:ctrlPr>
            </m:dPr>
            <m:e>
              <m:r>
                <w:rPr>
                  <w:rFonts w:ascii="Cambria Math" w:hAnsi="Cambria Math"/>
                  <w:color w:val="1A365D"/>
                </w:rPr>
                <m:t>ln</m:t>
              </m:r>
              <m:d>
                <m:dPr>
                  <m:ctrlPr>
                    <w:rPr>
                      <w:rFonts w:ascii="Cambria Math" w:hAnsi="Cambria Math"/>
                      <w:color w:val="1A365D"/>
                    </w:rPr>
                  </m:ctrlPr>
                </m:dPr>
                <m:e>
                  <m:sSub>
                    <m:sSubPr>
                      <m:ctrlPr>
                        <w:rPr>
                          <w:rFonts w:ascii="Cambria Math" w:hAnsi="Cambria Math"/>
                          <w:color w:val="1A365D"/>
                        </w:rPr>
                      </m:ctrlPr>
                    </m:sSubPr>
                    <m:e>
                      <m:r>
                        <w:rPr>
                          <w:rFonts w:ascii="Cambria Math" w:hAnsi="Cambria Math"/>
                          <w:color w:val="1A365D"/>
                        </w:rPr>
                        <m:t>σ</m:t>
                      </m:r>
                    </m:e>
                    <m:sub>
                      <m:r>
                        <w:rPr>
                          <w:rFonts w:ascii="Cambria Math" w:hAnsi="Cambria Math"/>
                          <w:color w:val="1A365D"/>
                        </w:rPr>
                        <m:t>e</m:t>
                      </m:r>
                    </m:sub>
                  </m:sSub>
                  <m:r>
                    <w:rPr>
                      <w:rFonts w:ascii="Cambria Math" w:hAnsi="Cambria Math"/>
                      <w:color w:val="1A365D"/>
                    </w:rPr>
                    <m:t>xt²</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σ</m:t>
                      </m:r>
                    </m:e>
                    <m:sub>
                      <m:r>
                        <w:rPr>
                          <w:rFonts w:ascii="Cambria Math" w:hAnsi="Cambria Math"/>
                          <w:color w:val="1A365D"/>
                        </w:rPr>
                        <m:t>o</m:t>
                      </m:r>
                    </m:sub>
                  </m:sSub>
                  <m:r>
                    <w:rPr>
                      <w:rFonts w:ascii="Cambria Math" w:hAnsi="Cambria Math"/>
                      <w:color w:val="1A365D"/>
                    </w:rPr>
                    <m:t>bs²</m:t>
                  </m:r>
                  <m:d>
                    <m:dPr>
                      <m:ctrlPr>
                        <w:rPr>
                          <w:rFonts w:ascii="Cambria Math" w:hAnsi="Cambria Math"/>
                          <w:color w:val="1A365D"/>
                        </w:rPr>
                      </m:ctrlPr>
                    </m:dPr>
                    <m:e>
                      <m:r>
                        <w:rPr>
                          <w:rFonts w:ascii="Cambria Math" w:hAnsi="Cambria Math"/>
                          <w:color w:val="1A365D"/>
                        </w:rPr>
                        <m:t>t</m:t>
                      </m:r>
                    </m:e>
                  </m:d>
                </m:e>
              </m:d>
              <m:r>
                <w:rPr>
                  <w:rFonts w:ascii="Cambria Math" w:hAnsi="Cambria Math"/>
                  <w:color w:val="1A365D"/>
                </w:rPr>
                <m:t>+</m:t>
              </m:r>
              <m:d>
                <m:dPr>
                  <m:ctrlPr>
                    <w:rPr>
                      <w:rFonts w:ascii="Cambria Math" w:hAnsi="Cambria Math"/>
                      <w:color w:val="1A365D"/>
                    </w:rPr>
                  </m:ctrlPr>
                </m:dPr>
                <m:e>
                  <m:sSub>
                    <m:sSubPr>
                      <m:ctrlPr>
                        <w:rPr>
                          <w:rFonts w:ascii="Cambria Math" w:hAnsi="Cambria Math"/>
                          <w:color w:val="1A365D"/>
                        </w:rPr>
                      </m:ctrlPr>
                    </m:sSubPr>
                    <m:e>
                      <m:r>
                        <w:rPr>
                          <w:rFonts w:ascii="Cambria Math" w:hAnsi="Cambria Math"/>
                          <w:color w:val="1A365D"/>
                        </w:rPr>
                        <m:t>σ</m:t>
                      </m:r>
                    </m:e>
                    <m:sub>
                      <m:r>
                        <w:rPr>
                          <w:rFonts w:ascii="Cambria Math" w:hAnsi="Cambria Math"/>
                          <w:color w:val="1A365D"/>
                        </w:rPr>
                        <m:t>o</m:t>
                      </m:r>
                    </m:sub>
                  </m:sSub>
                  <m:r>
                    <w:rPr>
                      <w:rFonts w:ascii="Cambria Math" w:hAnsi="Cambria Math"/>
                      <w:color w:val="1A365D"/>
                    </w:rPr>
                    <m:t>bs²</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d>
                    <m:dPr>
                      <m:ctrlPr>
                        <w:rPr>
                          <w:rFonts w:ascii="Cambria Math" w:hAnsi="Cambria Math"/>
                          <w:color w:val="1A365D"/>
                        </w:rPr>
                      </m:ctrlPr>
                    </m:dPr>
                    <m:e>
                      <m:sSub>
                        <m:sSubPr>
                          <m:ctrlPr>
                            <w:rPr>
                              <w:rFonts w:ascii="Cambria Math" w:hAnsi="Cambria Math"/>
                              <w:color w:val="1A365D"/>
                            </w:rPr>
                          </m:ctrlPr>
                        </m:sSubPr>
                        <m:e>
                          <m:r>
                            <w:rPr>
                              <w:rFonts w:ascii="Cambria Math" w:hAnsi="Cambria Math"/>
                              <w:color w:val="1A365D"/>
                            </w:rPr>
                            <m:t>S</m:t>
                          </m:r>
                        </m:e>
                        <m:sub>
                          <m:r>
                            <w:rPr>
                              <w:rFonts w:ascii="Cambria Math" w:hAnsi="Cambria Math"/>
                              <w:color w:val="1A365D"/>
                            </w:rPr>
                            <m:t>o</m:t>
                          </m:r>
                        </m:sub>
                      </m:sSub>
                      <m:r>
                        <w:rPr>
                          <w:rFonts w:ascii="Cambria Math" w:hAnsi="Cambria Math"/>
                          <w:color w:val="1A365D"/>
                        </w:rPr>
                        <m:t>bs</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S</m:t>
                          </m:r>
                        </m:e>
                        <m:sub>
                          <m:r>
                            <w:rPr>
                              <w:rFonts w:ascii="Cambria Math" w:hAnsi="Cambria Math"/>
                              <w:color w:val="1A365D"/>
                            </w:rPr>
                            <m:t>e</m:t>
                          </m:r>
                        </m:sub>
                      </m:sSub>
                      <m:r>
                        <w:rPr>
                          <w:rFonts w:ascii="Cambria Math" w:hAnsi="Cambria Math"/>
                          <w:color w:val="1A365D"/>
                        </w:rPr>
                        <m:t>xt</m:t>
                      </m:r>
                      <m:d>
                        <m:dPr>
                          <m:ctrlPr>
                            <w:rPr>
                              <w:rFonts w:ascii="Cambria Math" w:hAnsi="Cambria Math"/>
                              <w:color w:val="1A365D"/>
                            </w:rPr>
                          </m:ctrlPr>
                        </m:dPr>
                        <m:e>
                          <m:r>
                            <w:rPr>
                              <w:rFonts w:ascii="Cambria Math" w:hAnsi="Cambria Math"/>
                              <w:color w:val="1A365D"/>
                            </w:rPr>
                            <m:t>t</m:t>
                          </m:r>
                        </m:e>
                      </m:d>
                    </m:e>
                  </m:d>
                  <m:r>
                    <w:rPr>
                      <w:rFonts w:ascii="Cambria Math" w:hAnsi="Cambria Math"/>
                      <w:color w:val="1A365D"/>
                    </w:rPr>
                    <m:t>²</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σ</m:t>
                  </m:r>
                </m:e>
                <m:sub>
                  <m:r>
                    <w:rPr>
                      <w:rFonts w:ascii="Cambria Math" w:hAnsi="Cambria Math"/>
                      <w:color w:val="1A365D"/>
                    </w:rPr>
                    <m:t>e</m:t>
                  </m:r>
                </m:sub>
              </m:sSub>
              <m:r>
                <w:rPr>
                  <w:rFonts w:ascii="Cambria Math" w:hAnsi="Cambria Math"/>
                  <w:color w:val="1A365D"/>
                </w:rPr>
                <m:t>xt²</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-1</m:t>
              </m:r>
            </m:e>
          </m:d>
        </m:oMath>
      </m:oMathPara>
    </w:p>
    <w:p w14:paraId="522D98DD" w14:textId="77777777" w:rsidR="00254DE9" w:rsidRDefault="00000000">
      <w:r>
        <w:t>This formulation encapsulates two critical dynamics simultaneously:</w:t>
      </w:r>
    </w:p>
    <w:p w14:paraId="3A4E4302" w14:textId="77777777" w:rsidR="00254DE9" w:rsidRDefault="00000000">
      <w:pPr>
        <w:pStyle w:val="ListBullet"/>
      </w:pPr>
      <w:r>
        <w:rPr>
          <w:b/>
        </w:rPr>
        <w:t xml:space="preserve">Geometric Separation: </w:t>
      </w:r>
      <w:r>
        <w:t>The squared deviation (S_obs(t) - S_ext(t))² directly penalizes trajectories where the parametric trial extrapolation diverges away from long-term registry mortality.</w:t>
      </w:r>
    </w:p>
    <w:p w14:paraId="676D6CB4" w14:textId="77777777" w:rsidR="00254DE9" w:rsidRDefault="00000000">
      <w:pPr>
        <w:pStyle w:val="ListBullet"/>
      </w:pPr>
      <w:r>
        <w:rPr>
          <w:b/>
        </w:rPr>
        <w:t xml:space="preserve">Relative Uncertainty: </w:t>
      </w:r>
      <w:r>
        <w:t>As trial follow-up ends and patient-level censoring dominates the tail, σ_obs²(t) inflates rapidly while σ_ext²(t) remains tightly constrained. The ratio σ_obs²(t) / σ_ext²(t) accelerates D_KL(t), signaling an objective loss of credibility in the trial model.</w:t>
      </w:r>
    </w:p>
    <w:p w14:paraId="6BF03272" w14:textId="77777777" w:rsidR="00254DE9" w:rsidRDefault="00000000">
      <w:r>
        <w:t>Boundary Regularization for C¹ Differentiability: If the cumulative divergence integral were cut off abruptly at t2, a non-zero D_KL(t2) would induce a jump discontinuity in the derivative π'(t), producing a sharp corner (kink) in survival and a step jump in the implied hazard rate h(t) = -S'(t)/S(t). To guarantee full C¹ differentiability, we apply a smooth windowing taper w(t) = sin²(π · (t - t1)/(t2 - t1)), ensuring π'(t1) = π'(t2) = 0:</w:t>
      </w:r>
    </w:p>
    <w:p w14:paraId="78CC1F52" w14:textId="2EA0537F" w:rsidR="00254DE9" w:rsidRPr="00030128" w:rsidRDefault="0093457E">
      <w:pPr>
        <w:spacing w:before="80"/>
        <w:ind w:left="720"/>
        <w:rPr>
          <w:lang w:val="es-ES"/>
        </w:rPr>
      </w:pPr>
      <m:oMathPara>
        <m:oMath>
          <m:r>
            <w:rPr>
              <w:rFonts w:ascii="Cambria Math" w:hAnsi="Cambria Math"/>
              <w:color w:val="1A365D"/>
            </w:rPr>
            <m:t>π</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d>
            <m:dPr>
              <m:begChr m:val="["/>
              <m:endChr m:val="]"/>
              <m:ctrlPr>
                <w:rPr>
                  <w:rFonts w:ascii="Cambria Math" w:hAnsi="Cambria Math"/>
                  <w:color w:val="1A365D"/>
                </w:rPr>
              </m:ctrlPr>
            </m:dPr>
            <m:e>
              <m:sSubSup>
                <m:sSubSupPr>
                  <m:ctrlPr>
                    <w:rPr>
                      <w:rFonts w:ascii="Cambria Math" w:hAnsi="Cambria Math"/>
                      <w:color w:val="1A365D"/>
                    </w:rPr>
                  </m:ctrlPr>
                </m:sSubSupPr>
                <m:e>
                  <m:r>
                    <w:rPr>
                      <w:rFonts w:ascii="Cambria Math" w:hAnsi="Cambria Math"/>
                      <w:color w:val="1A365D"/>
                    </w:rPr>
                    <m:t>∫</m:t>
                  </m:r>
                </m:e>
                <m:sub>
                  <m:r>
                    <w:rPr>
                      <w:rFonts w:ascii="Cambria Math" w:hAnsi="Cambria Math"/>
                      <w:color w:val="1A365D"/>
                    </w:rPr>
                    <m:t>t1</m:t>
                  </m:r>
                </m:sub>
                <m:sup>
                  <m:r>
                    <w:rPr>
                      <w:rFonts w:ascii="Cambria Math" w:hAnsi="Cambria Math"/>
                      <w:color w:val="1A365D"/>
                    </w:rPr>
                    <m:t>t</m:t>
                  </m:r>
                </m:sup>
              </m:sSubSup>
              <m:sSub>
                <m:sSubPr>
                  <m:ctrlPr>
                    <w:rPr>
                      <w:rFonts w:ascii="Cambria Math" w:hAnsi="Cambria Math"/>
                      <w:color w:val="1A365D"/>
                    </w:rPr>
                  </m:ctrlPr>
                </m:sSubPr>
                <m:e>
                  <m:r>
                    <w:rPr>
                      <w:rFonts w:ascii="Cambria Math" w:hAnsi="Cambria Math"/>
                      <w:color w:val="1A365D"/>
                    </w:rPr>
                    <m:t>D</m:t>
                  </m:r>
                </m:e>
                <m:sub>
                  <m:r>
                    <w:rPr>
                      <w:rFonts w:ascii="Cambria Math" w:hAnsi="Cambria Math"/>
                      <w:color w:val="1A365D"/>
                    </w:rPr>
                    <m:t>K</m:t>
                  </m:r>
                </m:sub>
              </m:sSub>
              <m:r>
                <w:rPr>
                  <w:rFonts w:ascii="Cambria Math" w:hAnsi="Cambria Math"/>
                  <w:color w:val="1A365D"/>
                </w:rPr>
                <m:t>L</m:t>
              </m:r>
              <m:d>
                <m:dPr>
                  <m:ctrlPr>
                    <w:rPr>
                      <w:rFonts w:ascii="Cambria Math" w:hAnsi="Cambria Math"/>
                      <w:color w:val="1A365D"/>
                    </w:rPr>
                  </m:ctrlPr>
                </m:dPr>
                <m:e>
                  <m:r>
                    <w:rPr>
                      <w:rFonts w:ascii="Cambria Math" w:hAnsi="Cambria Math"/>
                      <w:color w:val="1A365D"/>
                    </w:rPr>
                    <m:t>u</m:t>
                  </m:r>
                </m:e>
              </m:d>
              <m:r>
                <w:rPr>
                  <w:rFonts w:ascii="Cambria Math" w:hAnsi="Cambria Math"/>
                  <w:color w:val="1A365D"/>
                </w:rPr>
                <m:t>·w</m:t>
              </m:r>
              <m:d>
                <m:dPr>
                  <m:ctrlPr>
                    <w:rPr>
                      <w:rFonts w:ascii="Cambria Math" w:hAnsi="Cambria Math"/>
                      <w:color w:val="1A365D"/>
                    </w:rPr>
                  </m:ctrlPr>
                </m:dPr>
                <m:e>
                  <m:r>
                    <w:rPr>
                      <w:rFonts w:ascii="Cambria Math" w:hAnsi="Cambria Math"/>
                      <w:color w:val="1A365D"/>
                    </w:rPr>
                    <m:t>u</m:t>
                  </m:r>
                </m:e>
              </m:d>
              <m:r>
                <w:rPr>
                  <w:rFonts w:ascii="Cambria Math" w:hAnsi="Cambria Math"/>
                  <w:color w:val="1A365D"/>
                </w:rPr>
                <m:t>du</m:t>
              </m:r>
            </m:e>
          </m:d>
          <m:r>
            <w:rPr>
              <w:rFonts w:ascii="Cambria Math" w:hAnsi="Cambria Math"/>
              <w:color w:val="1A365D"/>
            </w:rPr>
            <m:t>/</m:t>
          </m:r>
          <m:d>
            <m:dPr>
              <m:begChr m:val="["/>
              <m:endChr m:val="]"/>
              <m:ctrlPr>
                <w:rPr>
                  <w:rFonts w:ascii="Cambria Math" w:hAnsi="Cambria Math"/>
                  <w:color w:val="1A365D"/>
                </w:rPr>
              </m:ctrlPr>
            </m:dPr>
            <m:e>
              <m:sSubSup>
                <m:sSubSupPr>
                  <m:ctrlPr>
                    <w:rPr>
                      <w:rFonts w:ascii="Cambria Math" w:hAnsi="Cambria Math"/>
                      <w:color w:val="1A365D"/>
                    </w:rPr>
                  </m:ctrlPr>
                </m:sSubSupPr>
                <m:e>
                  <m:r>
                    <w:rPr>
                      <w:rFonts w:ascii="Cambria Math" w:hAnsi="Cambria Math"/>
                      <w:color w:val="1A365D"/>
                    </w:rPr>
                    <m:t>∫</m:t>
                  </m:r>
                </m:e>
                <m:sub>
                  <m:r>
                    <w:rPr>
                      <w:rFonts w:ascii="Cambria Math" w:hAnsi="Cambria Math"/>
                      <w:color w:val="1A365D"/>
                    </w:rPr>
                    <m:t>t1</m:t>
                  </m:r>
                </m:sub>
                <m:sup>
                  <m:r>
                    <w:rPr>
                      <w:rFonts w:ascii="Cambria Math" w:hAnsi="Cambria Math"/>
                      <w:color w:val="1A365D"/>
                    </w:rPr>
                    <m:t>t2</m:t>
                  </m:r>
                </m:sup>
              </m:sSubSup>
              <m:sSub>
                <m:sSubPr>
                  <m:ctrlPr>
                    <w:rPr>
                      <w:rFonts w:ascii="Cambria Math" w:hAnsi="Cambria Math"/>
                      <w:color w:val="1A365D"/>
                    </w:rPr>
                  </m:ctrlPr>
                </m:sSubPr>
                <m:e>
                  <m:r>
                    <w:rPr>
                      <w:rFonts w:ascii="Cambria Math" w:hAnsi="Cambria Math"/>
                      <w:color w:val="1A365D"/>
                    </w:rPr>
                    <m:t>D</m:t>
                  </m:r>
                </m:e>
                <m:sub>
                  <m:r>
                    <w:rPr>
                      <w:rFonts w:ascii="Cambria Math" w:hAnsi="Cambria Math"/>
                      <w:color w:val="1A365D"/>
                    </w:rPr>
                    <m:t>K</m:t>
                  </m:r>
                </m:sub>
              </m:sSub>
              <m:r>
                <w:rPr>
                  <w:rFonts w:ascii="Cambria Math" w:hAnsi="Cambria Math"/>
                  <w:color w:val="1A365D"/>
                </w:rPr>
                <m:t>L</m:t>
              </m:r>
              <m:d>
                <m:dPr>
                  <m:ctrlPr>
                    <w:rPr>
                      <w:rFonts w:ascii="Cambria Math" w:hAnsi="Cambria Math"/>
                      <w:color w:val="1A365D"/>
                    </w:rPr>
                  </m:ctrlPr>
                </m:dPr>
                <m:e>
                  <m:r>
                    <w:rPr>
                      <w:rFonts w:ascii="Cambria Math" w:hAnsi="Cambria Math"/>
                      <w:color w:val="1A365D"/>
                    </w:rPr>
                    <m:t>u</m:t>
                  </m:r>
                </m:e>
              </m:d>
              <m:r>
                <w:rPr>
                  <w:rFonts w:ascii="Cambria Math" w:hAnsi="Cambria Math"/>
                  <w:color w:val="1A365D"/>
                </w:rPr>
                <m:t>·w</m:t>
              </m:r>
              <m:d>
                <m:dPr>
                  <m:ctrlPr>
                    <w:rPr>
                      <w:rFonts w:ascii="Cambria Math" w:hAnsi="Cambria Math"/>
                      <w:color w:val="1A365D"/>
                    </w:rPr>
                  </m:ctrlPr>
                </m:dPr>
                <m:e>
                  <m:r>
                    <w:rPr>
                      <w:rFonts w:ascii="Cambria Math" w:hAnsi="Cambria Math"/>
                      <w:color w:val="1A365D"/>
                    </w:rPr>
                    <m:t>u</m:t>
                  </m:r>
                </m:e>
              </m:d>
              <m:r>
                <w:rPr>
                  <w:rFonts w:ascii="Cambria Math" w:hAnsi="Cambria Math"/>
                  <w:color w:val="1A365D"/>
                </w:rPr>
                <m:t>du</m:t>
              </m:r>
            </m:e>
          </m:d>
        </m:oMath>
      </m:oMathPara>
    </w:p>
    <w:p w14:paraId="49DA79CF" w14:textId="77777777" w:rsidR="00254DE9" w:rsidRDefault="00000000">
      <w:pPr>
        <w:keepNext/>
        <w:spacing w:before="240"/>
      </w:pPr>
      <w:r>
        <w:rPr>
          <w:b/>
          <w:color w:val="2B6CB0"/>
          <w:sz w:val="28"/>
        </w:rPr>
        <w:t>2.2 Approach 2: Information Barycenter (Precision Pooling)</w:t>
      </w:r>
    </w:p>
    <w:p w14:paraId="5D7FDF20" w14:textId="460E2E81" w:rsidR="00254DE9" w:rsidRDefault="00000000">
      <w:r>
        <w:t xml:space="preserve">Rather than utilizing divergence solely as a scalar clock to pace an arithmetic mixture, Approach 2 reformulates blending as an explicit optimization problem in information space. We define the intermediate blended survival state </w:t>
      </w: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 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M</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M</m:t>
                </m:r>
              </m:sub>
            </m:sSub>
            <m:r>
              <w:rPr>
                <w:rFonts w:ascii="Cambria Math" w:hAnsi="Cambria Math"/>
              </w:rPr>
              <m:t>²</m:t>
            </m:r>
            <m:d>
              <m:dPr>
                <m:ctrlPr>
                  <w:rPr>
                    <w:rFonts w:ascii="Cambria Math" w:hAnsi="Cambria Math"/>
                  </w:rPr>
                </m:ctrlPr>
              </m:dPr>
              <m:e>
                <m:r>
                  <w:rPr>
                    <w:rFonts w:ascii="Cambria Math" w:hAnsi="Cambria Math"/>
                  </w:rPr>
                  <m:t>t</m:t>
                </m:r>
              </m:e>
            </m:d>
          </m:e>
        </m:d>
      </m:oMath>
      <w:r>
        <w:t xml:space="preserve"> as the distribution that minimizes the weighted sum of reverse KL divergences (information projections) to both parent distributions:</w:t>
      </w:r>
    </w:p>
    <w:p w14:paraId="0D9FC22B" w14:textId="286DABEF" w:rsidR="00254DE9" w:rsidRDefault="0093457E">
      <w:pPr>
        <w:spacing w:before="80"/>
        <w:ind w:left="720"/>
      </w:pPr>
      <m:oMathPara>
        <m:oMath>
          <m:r>
            <w:rPr>
              <w:rFonts w:ascii="Cambria Math" w:hAnsi="Cambria Math"/>
              <w:color w:val="1A365D"/>
            </w:rPr>
            <m:t>mi</m:t>
          </m:r>
          <m:sSub>
            <m:sSubPr>
              <m:ctrlPr>
                <w:rPr>
                  <w:rFonts w:ascii="Cambria Math" w:hAnsi="Cambria Math"/>
                  <w:color w:val="1A365D"/>
                </w:rPr>
              </m:ctrlPr>
            </m:sSubPr>
            <m:e>
              <m:r>
                <w:rPr>
                  <w:rFonts w:ascii="Cambria Math" w:hAnsi="Cambria Math"/>
                  <w:color w:val="1A365D"/>
                </w:rPr>
                <m:t>n</m:t>
              </m:r>
            </m:e>
            <m:sub>
              <m:sSub>
                <m:sSubPr>
                  <m:ctrlPr>
                    <w:rPr>
                      <w:rFonts w:ascii="Cambria Math" w:hAnsi="Cambria Math"/>
                      <w:color w:val="1A365D"/>
                    </w:rPr>
                  </m:ctrlPr>
                </m:sSubPr>
                <m:e>
                  <m:r>
                    <w:rPr>
                      <w:rFonts w:ascii="Cambria Math" w:hAnsi="Cambria Math"/>
                      <w:color w:val="1A365D"/>
                    </w:rPr>
                    <m:t>M</m:t>
                  </m:r>
                </m:e>
                <m:sub>
                  <m:r>
                    <w:rPr>
                      <w:rFonts w:ascii="Cambria Math" w:hAnsi="Cambria Math"/>
                      <w:color w:val="1A365D"/>
                    </w:rPr>
                    <m:t>t</m:t>
                  </m:r>
                </m:sub>
              </m:sSub>
            </m:sub>
          </m:sSub>
          <m:d>
            <m:dPr>
              <m:begChr m:val="["/>
              <m:endChr m:val="]"/>
              <m:ctrlPr>
                <w:rPr>
                  <w:rFonts w:ascii="Cambria Math" w:hAnsi="Cambria Math"/>
                  <w:color w:val="1A365D"/>
                </w:rPr>
              </m:ctrlPr>
            </m:dPr>
            <m:e>
              <m:d>
                <m:dPr>
                  <m:ctrlPr>
                    <w:rPr>
                      <w:rFonts w:ascii="Cambria Math" w:hAnsi="Cambria Math"/>
                      <w:color w:val="1A365D"/>
                    </w:rPr>
                  </m:ctrlPr>
                </m:dPr>
                <m:e>
                  <m:r>
                    <w:rPr>
                      <w:rFonts w:ascii="Cambria Math" w:hAnsi="Cambria Math"/>
                      <w:color w:val="1A365D"/>
                    </w:rPr>
                    <m:t>1-λ</m:t>
                  </m:r>
                  <m:d>
                    <m:dPr>
                      <m:ctrlPr>
                        <w:rPr>
                          <w:rFonts w:ascii="Cambria Math" w:hAnsi="Cambria Math"/>
                          <w:color w:val="1A365D"/>
                        </w:rPr>
                      </m:ctrlPr>
                    </m:dPr>
                    <m:e>
                      <m:r>
                        <w:rPr>
                          <w:rFonts w:ascii="Cambria Math" w:hAnsi="Cambria Math"/>
                          <w:color w:val="1A365D"/>
                        </w:rPr>
                        <m:t>t</m:t>
                      </m:r>
                    </m:e>
                  </m:d>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D</m:t>
                  </m:r>
                </m:e>
                <m:sub>
                  <m:r>
                    <w:rPr>
                      <w:rFonts w:ascii="Cambria Math" w:hAnsi="Cambria Math"/>
                      <w:color w:val="1A365D"/>
                    </w:rPr>
                    <m:t>K</m:t>
                  </m:r>
                </m:sub>
              </m:sSub>
              <m:r>
                <w:rPr>
                  <w:rFonts w:ascii="Cambria Math" w:hAnsi="Cambria Math"/>
                  <w:color w:val="1A365D"/>
                </w:rPr>
                <m:t>L</m:t>
              </m:r>
              <m:d>
                <m:dPr>
                  <m:ctrlPr>
                    <w:rPr>
                      <w:rFonts w:ascii="Cambria Math" w:hAnsi="Cambria Math"/>
                      <w:color w:val="1A365D"/>
                    </w:rPr>
                  </m:ctrlPr>
                </m:dPr>
                <m:e>
                  <m:sSub>
                    <m:sSubPr>
                      <m:ctrlPr>
                        <w:rPr>
                          <w:rFonts w:ascii="Cambria Math" w:hAnsi="Cambria Math"/>
                          <w:color w:val="1A365D"/>
                        </w:rPr>
                      </m:ctrlPr>
                    </m:sSubPr>
                    <m:e>
                      <m:r>
                        <w:rPr>
                          <w:rFonts w:ascii="Cambria Math" w:hAnsi="Cambria Math"/>
                          <w:color w:val="1A365D"/>
                        </w:rPr>
                        <m:t>M</m:t>
                      </m:r>
                    </m:e>
                    <m:sub>
                      <m:r>
                        <w:rPr>
                          <w:rFonts w:ascii="Cambria Math" w:hAnsi="Cambria Math"/>
                          <w:color w:val="1A365D"/>
                        </w:rPr>
                        <m:t>t</m:t>
                      </m:r>
                    </m:sub>
                  </m:sSub>
                  <m:d>
                    <m:dPr>
                      <m:begChr m:val="|"/>
                      <m:endChr m:val="|"/>
                      <m:ctrlPr>
                        <w:rPr>
                          <w:rFonts w:ascii="Cambria Math" w:hAnsi="Cambria Math"/>
                          <w:color w:val="1A365D"/>
                        </w:rPr>
                      </m:ctrlPr>
                    </m:dPr>
                    <m:e/>
                  </m:d>
                  <m:sSub>
                    <m:sSubPr>
                      <m:ctrlPr>
                        <w:rPr>
                          <w:rFonts w:ascii="Cambria Math" w:hAnsi="Cambria Math"/>
                          <w:color w:val="1A365D"/>
                        </w:rPr>
                      </m:ctrlPr>
                    </m:sSubPr>
                    <m:e>
                      <m:r>
                        <w:rPr>
                          <w:rFonts w:ascii="Cambria Math" w:hAnsi="Cambria Math"/>
                          <w:color w:val="1A365D"/>
                        </w:rPr>
                        <m:t>P</m:t>
                      </m:r>
                    </m:e>
                    <m:sub>
                      <m:r>
                        <w:rPr>
                          <w:rFonts w:ascii="Cambria Math" w:hAnsi="Cambria Math"/>
                          <w:color w:val="1A365D"/>
                        </w:rPr>
                        <m:t>o</m:t>
                      </m:r>
                    </m:sub>
                  </m:sSub>
                  <m:r>
                    <w:rPr>
                      <w:rFonts w:ascii="Cambria Math" w:hAnsi="Cambria Math"/>
                      <w:color w:val="1A365D"/>
                    </w:rPr>
                    <m:t>bs,t</m:t>
                  </m:r>
                </m:e>
              </m:d>
              <m:r>
                <w:rPr>
                  <w:rFonts w:ascii="Cambria Math" w:hAnsi="Cambria Math"/>
                  <w:color w:val="1A365D"/>
                </w:rPr>
                <m:t>+λ</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D</m:t>
                  </m:r>
                </m:e>
                <m:sub>
                  <m:r>
                    <w:rPr>
                      <w:rFonts w:ascii="Cambria Math" w:hAnsi="Cambria Math"/>
                      <w:color w:val="1A365D"/>
                    </w:rPr>
                    <m:t>K</m:t>
                  </m:r>
                </m:sub>
              </m:sSub>
              <m:r>
                <w:rPr>
                  <w:rFonts w:ascii="Cambria Math" w:hAnsi="Cambria Math"/>
                  <w:color w:val="1A365D"/>
                </w:rPr>
                <m:t>L</m:t>
              </m:r>
              <m:d>
                <m:dPr>
                  <m:ctrlPr>
                    <w:rPr>
                      <w:rFonts w:ascii="Cambria Math" w:hAnsi="Cambria Math"/>
                      <w:color w:val="1A365D"/>
                    </w:rPr>
                  </m:ctrlPr>
                </m:dPr>
                <m:e>
                  <m:sSub>
                    <m:sSubPr>
                      <m:ctrlPr>
                        <w:rPr>
                          <w:rFonts w:ascii="Cambria Math" w:hAnsi="Cambria Math"/>
                          <w:color w:val="1A365D"/>
                        </w:rPr>
                      </m:ctrlPr>
                    </m:sSubPr>
                    <m:e>
                      <m:r>
                        <w:rPr>
                          <w:rFonts w:ascii="Cambria Math" w:hAnsi="Cambria Math"/>
                          <w:color w:val="1A365D"/>
                        </w:rPr>
                        <m:t>M</m:t>
                      </m:r>
                    </m:e>
                    <m:sub>
                      <m:r>
                        <w:rPr>
                          <w:rFonts w:ascii="Cambria Math" w:hAnsi="Cambria Math"/>
                          <w:color w:val="1A365D"/>
                        </w:rPr>
                        <m:t>t</m:t>
                      </m:r>
                    </m:sub>
                  </m:sSub>
                  <m:d>
                    <m:dPr>
                      <m:begChr m:val="|"/>
                      <m:endChr m:val="|"/>
                      <m:ctrlPr>
                        <w:rPr>
                          <w:rFonts w:ascii="Cambria Math" w:hAnsi="Cambria Math"/>
                          <w:color w:val="1A365D"/>
                        </w:rPr>
                      </m:ctrlPr>
                    </m:dPr>
                    <m:e/>
                  </m:d>
                  <m:sSub>
                    <m:sSubPr>
                      <m:ctrlPr>
                        <w:rPr>
                          <w:rFonts w:ascii="Cambria Math" w:hAnsi="Cambria Math"/>
                          <w:color w:val="1A365D"/>
                        </w:rPr>
                      </m:ctrlPr>
                    </m:sSubPr>
                    <m:e>
                      <m:r>
                        <w:rPr>
                          <w:rFonts w:ascii="Cambria Math" w:hAnsi="Cambria Math"/>
                          <w:color w:val="1A365D"/>
                        </w:rPr>
                        <m:t>P</m:t>
                      </m:r>
                    </m:e>
                    <m:sub>
                      <m:r>
                        <w:rPr>
                          <w:rFonts w:ascii="Cambria Math" w:hAnsi="Cambria Math"/>
                          <w:color w:val="1A365D"/>
                        </w:rPr>
                        <m:t>e</m:t>
                      </m:r>
                    </m:sub>
                  </m:sSub>
                  <m:r>
                    <w:rPr>
                      <w:rFonts w:ascii="Cambria Math" w:hAnsi="Cambria Math"/>
                      <w:color w:val="1A365D"/>
                    </w:rPr>
                    <m:t>xt,t</m:t>
                  </m:r>
                </m:e>
              </m:d>
            </m:e>
          </m:d>
        </m:oMath>
      </m:oMathPara>
    </w:p>
    <w:p w14:paraId="44E8A28B" w14:textId="77777777" w:rsidR="00254DE9" w:rsidRDefault="00000000">
      <w:r>
        <w:t>where λ(t) = 3u² - 2u³ (with u = (t - t1)/(t2 - t1)) is a smoothstep progression parameter on [0, 1]. In information geometry, this minimization yields an exponential barycenter. Expressing this in terms of parameter precisions τ = 1/σ²:</w:t>
      </w:r>
    </w:p>
    <w:p w14:paraId="2BB08DCE" w14:textId="6A42C32C" w:rsidR="00254DE9" w:rsidRDefault="0093457E">
      <w:pPr>
        <w:spacing w:before="80"/>
        <w:ind w:left="720"/>
      </w:pPr>
      <m:oMathPara>
        <m:oMath>
          <m:sSub>
            <m:sSubPr>
              <m:ctrlPr>
                <w:rPr>
                  <w:rFonts w:ascii="Cambria Math" w:hAnsi="Cambria Math"/>
                  <w:color w:val="1A365D"/>
                </w:rPr>
              </m:ctrlPr>
            </m:sSubPr>
            <m:e>
              <m:r>
                <w:rPr>
                  <w:rFonts w:ascii="Cambria Math" w:hAnsi="Cambria Math"/>
                  <w:color w:val="1A365D"/>
                </w:rPr>
                <m:t>τ</m:t>
              </m:r>
            </m:e>
            <m:sub>
              <m:r>
                <w:rPr>
                  <w:rFonts w:ascii="Cambria Math" w:hAnsi="Cambria Math"/>
                  <w:color w:val="1A365D"/>
                </w:rPr>
                <m:t>M</m:t>
              </m:r>
            </m:sub>
          </m:sSub>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d>
            <m:dPr>
              <m:ctrlPr>
                <w:rPr>
                  <w:rFonts w:ascii="Cambria Math" w:hAnsi="Cambria Math"/>
                  <w:color w:val="1A365D"/>
                </w:rPr>
              </m:ctrlPr>
            </m:dPr>
            <m:e>
              <m:r>
                <w:rPr>
                  <w:rFonts w:ascii="Cambria Math" w:hAnsi="Cambria Math"/>
                  <w:color w:val="1A365D"/>
                </w:rPr>
                <m:t>1-λ</m:t>
              </m:r>
              <m:d>
                <m:dPr>
                  <m:ctrlPr>
                    <w:rPr>
                      <w:rFonts w:ascii="Cambria Math" w:hAnsi="Cambria Math"/>
                      <w:color w:val="1A365D"/>
                    </w:rPr>
                  </m:ctrlPr>
                </m:dPr>
                <m:e>
                  <m:r>
                    <w:rPr>
                      <w:rFonts w:ascii="Cambria Math" w:hAnsi="Cambria Math"/>
                      <w:color w:val="1A365D"/>
                    </w:rPr>
                    <m:t>t</m:t>
                  </m:r>
                </m:e>
              </m:d>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τ</m:t>
              </m:r>
            </m:e>
            <m:sub>
              <m:r>
                <w:rPr>
                  <w:rFonts w:ascii="Cambria Math" w:hAnsi="Cambria Math"/>
                  <w:color w:val="1A365D"/>
                </w:rPr>
                <m:t>o</m:t>
              </m:r>
            </m:sub>
          </m:sSub>
          <m:r>
            <w:rPr>
              <w:rFonts w:ascii="Cambria Math" w:hAnsi="Cambria Math"/>
              <w:color w:val="1A365D"/>
            </w:rPr>
            <m:t>bs</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+λ</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τ</m:t>
              </m:r>
            </m:e>
            <m:sub>
              <m:r>
                <w:rPr>
                  <w:rFonts w:ascii="Cambria Math" w:hAnsi="Cambria Math"/>
                  <w:color w:val="1A365D"/>
                </w:rPr>
                <m:t>e</m:t>
              </m:r>
            </m:sub>
          </m:sSub>
          <m:r>
            <w:rPr>
              <w:rFonts w:ascii="Cambria Math" w:hAnsi="Cambria Math"/>
              <w:color w:val="1A365D"/>
            </w:rPr>
            <m:t>xt</m:t>
          </m:r>
          <m:d>
            <m:dPr>
              <m:ctrlPr>
                <w:rPr>
                  <w:rFonts w:ascii="Cambria Math" w:hAnsi="Cambria Math"/>
                  <w:color w:val="1A365D"/>
                </w:rPr>
              </m:ctrlPr>
            </m:dPr>
            <m:e>
              <m:r>
                <w:rPr>
                  <w:rFonts w:ascii="Cambria Math" w:hAnsi="Cambria Math"/>
                  <w:color w:val="1A365D"/>
                </w:rPr>
                <m:t>t</m:t>
              </m:r>
            </m:e>
          </m:d>
        </m:oMath>
      </m:oMathPara>
    </w:p>
    <w:p w14:paraId="2F3CF379" w14:textId="112A33DF" w:rsidR="00254DE9" w:rsidRDefault="0093457E">
      <w:pPr>
        <w:spacing w:before="80"/>
        <w:ind w:left="720"/>
      </w:pPr>
      <m:oMathPara>
        <m:oMath>
          <m:sSup>
            <m:sSupPr>
              <m:ctrlPr>
                <w:rPr>
                  <w:rFonts w:ascii="Cambria Math" w:hAnsi="Cambria Math"/>
                  <w:color w:val="1A365D"/>
                </w:rPr>
              </m:ctrlPr>
            </m:sSupPr>
            <m:e>
              <m:sSub>
                <m:sSubPr>
                  <m:ctrlPr>
                    <w:rPr>
                      <w:rFonts w:ascii="Cambria Math" w:hAnsi="Cambria Math"/>
                      <w:color w:val="1A365D"/>
                    </w:rPr>
                  </m:ctrlPr>
                </m:sSubPr>
                <m:e>
                  <m:r>
                    <w:rPr>
                      <w:rFonts w:ascii="Cambria Math" w:hAnsi="Cambria Math"/>
                      <w:color w:val="1A365D"/>
                    </w:rPr>
                    <m:t>S</m:t>
                  </m:r>
                </m:e>
                <m:sub>
                  <m:r>
                    <w:rPr>
                      <w:rFonts w:ascii="Cambria Math" w:hAnsi="Cambria Math"/>
                      <w:color w:val="1A365D"/>
                    </w:rPr>
                    <m:t>b</m:t>
                  </m:r>
                </m:sub>
              </m:sSub>
            </m:e>
            <m:sup>
              <m:d>
                <m:dPr>
                  <m:ctrlPr>
                    <w:rPr>
                      <w:rFonts w:ascii="Cambria Math" w:hAnsi="Cambria Math"/>
                      <w:color w:val="1A365D"/>
                    </w:rPr>
                  </m:ctrlPr>
                </m:dPr>
                <m:e>
                  <m:r>
                    <w:rPr>
                      <w:rFonts w:ascii="Cambria Math" w:hAnsi="Cambria Math"/>
                      <w:color w:val="1A365D"/>
                    </w:rPr>
                    <m:t>2</m:t>
                  </m:r>
                </m:e>
              </m:d>
            </m:sup>
          </m:sSup>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μ</m:t>
              </m:r>
            </m:e>
            <m:sub>
              <m:r>
                <w:rPr>
                  <w:rFonts w:ascii="Cambria Math" w:hAnsi="Cambria Math"/>
                  <w:color w:val="1A365D"/>
                </w:rPr>
                <m:t>M</m:t>
              </m:r>
            </m:sub>
          </m:sSub>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d>
            <m:dPr>
              <m:begChr m:val="["/>
              <m:endChr m:val="]"/>
              <m:ctrlPr>
                <w:rPr>
                  <w:rFonts w:ascii="Cambria Math" w:hAnsi="Cambria Math"/>
                  <w:color w:val="1A365D"/>
                </w:rPr>
              </m:ctrlPr>
            </m:dPr>
            <m:e>
              <m:d>
                <m:dPr>
                  <m:ctrlPr>
                    <w:rPr>
                      <w:rFonts w:ascii="Cambria Math" w:hAnsi="Cambria Math"/>
                      <w:color w:val="1A365D"/>
                    </w:rPr>
                  </m:ctrlPr>
                </m:dPr>
                <m:e>
                  <m:r>
                    <w:rPr>
                      <w:rFonts w:ascii="Cambria Math" w:hAnsi="Cambria Math"/>
                      <w:color w:val="1A365D"/>
                    </w:rPr>
                    <m:t>1-λ</m:t>
                  </m:r>
                  <m:d>
                    <m:dPr>
                      <m:ctrlPr>
                        <w:rPr>
                          <w:rFonts w:ascii="Cambria Math" w:hAnsi="Cambria Math"/>
                          <w:color w:val="1A365D"/>
                        </w:rPr>
                      </m:ctrlPr>
                    </m:dPr>
                    <m:e>
                      <m:r>
                        <w:rPr>
                          <w:rFonts w:ascii="Cambria Math" w:hAnsi="Cambria Math"/>
                          <w:color w:val="1A365D"/>
                        </w:rPr>
                        <m:t>t</m:t>
                      </m:r>
                    </m:e>
                  </m:d>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τ</m:t>
                  </m:r>
                </m:e>
                <m:sub>
                  <m:r>
                    <w:rPr>
                      <w:rFonts w:ascii="Cambria Math" w:hAnsi="Cambria Math"/>
                      <w:color w:val="1A365D"/>
                    </w:rPr>
                    <m:t>o</m:t>
                  </m:r>
                </m:sub>
              </m:sSub>
              <m:r>
                <w:rPr>
                  <w:rFonts w:ascii="Cambria Math" w:hAnsi="Cambria Math"/>
                  <w:color w:val="1A365D"/>
                </w:rPr>
                <m:t>bs</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S</m:t>
                  </m:r>
                </m:e>
                <m:sub>
                  <m:r>
                    <w:rPr>
                      <w:rFonts w:ascii="Cambria Math" w:hAnsi="Cambria Math"/>
                      <w:color w:val="1A365D"/>
                    </w:rPr>
                    <m:t>o</m:t>
                  </m:r>
                </m:sub>
              </m:sSub>
              <m:r>
                <w:rPr>
                  <w:rFonts w:ascii="Cambria Math" w:hAnsi="Cambria Math"/>
                  <w:color w:val="1A365D"/>
                </w:rPr>
                <m:t>bs</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+λ</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τ</m:t>
                  </m:r>
                </m:e>
                <m:sub>
                  <m:r>
                    <w:rPr>
                      <w:rFonts w:ascii="Cambria Math" w:hAnsi="Cambria Math"/>
                      <w:color w:val="1A365D"/>
                    </w:rPr>
                    <m:t>e</m:t>
                  </m:r>
                </m:sub>
              </m:sSub>
              <m:r>
                <w:rPr>
                  <w:rFonts w:ascii="Cambria Math" w:hAnsi="Cambria Math"/>
                  <w:color w:val="1A365D"/>
                </w:rPr>
                <m:t>xt</m:t>
              </m:r>
              <m:d>
                <m:dPr>
                  <m:ctrlPr>
                    <w:rPr>
                      <w:rFonts w:ascii="Cambria Math" w:hAnsi="Cambria Math"/>
                      <w:color w:val="1A365D"/>
                    </w:rPr>
                  </m:ctrlPr>
                </m:dPr>
                <m:e>
                  <m:r>
                    <w:rPr>
                      <w:rFonts w:ascii="Cambria Math" w:hAnsi="Cambria Math"/>
                      <w:color w:val="1A365D"/>
                    </w:rPr>
                    <m:t>t</m:t>
                  </m:r>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S</m:t>
                  </m:r>
                </m:e>
                <m:sub>
                  <m:r>
                    <w:rPr>
                      <w:rFonts w:ascii="Cambria Math" w:hAnsi="Cambria Math"/>
                      <w:color w:val="1A365D"/>
                    </w:rPr>
                    <m:t>e</m:t>
                  </m:r>
                </m:sub>
              </m:sSub>
              <m:r>
                <w:rPr>
                  <w:rFonts w:ascii="Cambria Math" w:hAnsi="Cambria Math"/>
                  <w:color w:val="1A365D"/>
                </w:rPr>
                <m:t>xt</m:t>
              </m:r>
              <m:d>
                <m:dPr>
                  <m:ctrlPr>
                    <w:rPr>
                      <w:rFonts w:ascii="Cambria Math" w:hAnsi="Cambria Math"/>
                      <w:color w:val="1A365D"/>
                    </w:rPr>
                  </m:ctrlPr>
                </m:dPr>
                <m:e>
                  <m:r>
                    <w:rPr>
                      <w:rFonts w:ascii="Cambria Math" w:hAnsi="Cambria Math"/>
                      <w:color w:val="1A365D"/>
                    </w:rPr>
                    <m:t>t</m:t>
                  </m:r>
                </m:e>
              </m:d>
            </m:e>
          </m:d>
          <m:r>
            <w:rPr>
              <w:rFonts w:ascii="Cambria Math" w:hAnsi="Cambria Math"/>
              <w:color w:val="1A365D"/>
            </w:rPr>
            <m:t>/</m:t>
          </m:r>
          <m:sSub>
            <m:sSubPr>
              <m:ctrlPr>
                <w:rPr>
                  <w:rFonts w:ascii="Cambria Math" w:hAnsi="Cambria Math"/>
                  <w:color w:val="1A365D"/>
                </w:rPr>
              </m:ctrlPr>
            </m:sSubPr>
            <m:e>
              <m:r>
                <w:rPr>
                  <w:rFonts w:ascii="Cambria Math" w:hAnsi="Cambria Math"/>
                  <w:color w:val="1A365D"/>
                </w:rPr>
                <m:t>τ</m:t>
              </m:r>
            </m:e>
            <m:sub>
              <m:r>
                <w:rPr>
                  <w:rFonts w:ascii="Cambria Math" w:hAnsi="Cambria Math"/>
                  <w:color w:val="1A365D"/>
                </w:rPr>
                <m:t>M</m:t>
              </m:r>
            </m:sub>
          </m:sSub>
          <m:d>
            <m:dPr>
              <m:ctrlPr>
                <w:rPr>
                  <w:rFonts w:ascii="Cambria Math" w:hAnsi="Cambria Math"/>
                  <w:color w:val="1A365D"/>
                </w:rPr>
              </m:ctrlPr>
            </m:dPr>
            <m:e>
              <m:r>
                <w:rPr>
                  <w:rFonts w:ascii="Cambria Math" w:hAnsi="Cambria Math"/>
                  <w:color w:val="1A365D"/>
                </w:rPr>
                <m:t>t</m:t>
              </m:r>
            </m:e>
          </m:d>
        </m:oMath>
      </m:oMathPara>
    </w:p>
    <w:p w14:paraId="5055486A" w14:textId="77777777" w:rsidR="00254DE9" w:rsidRDefault="00000000">
      <w:r>
        <w:t>Under Approach 2, the curve is directly pulled by relative parameter precision. If trial follow-up ends early and trial variance explodes, τ_obs(t) drops toward zero. Even if the nominal progress clock is only at λ(t) = 0.50, the high precision of the external registry τ_ext(t) mathematically overwhelms the trial model, automatically snapping the blended curve to the reliable external evidence.</w:t>
      </w:r>
    </w:p>
    <w:p w14:paraId="72C7F414" w14:textId="77777777" w:rsidR="00254DE9" w:rsidRDefault="00000000">
      <w:pPr>
        <w:keepNext/>
        <w:pBdr>
          <w:bottom w:val="single" w:sz="12" w:space="4" w:color="2B6CB0"/>
        </w:pBdr>
        <w:spacing w:before="320" w:after="120"/>
      </w:pPr>
      <w:r>
        <w:rPr>
          <w:b/>
          <w:color w:val="1A365D"/>
          <w:sz w:val="36"/>
        </w:rPr>
        <w:t>3. Comparative Discrepancy &amp; Optimal Transport Metrics</w:t>
      </w:r>
    </w:p>
    <w:p w14:paraId="7BEBA0D8" w14:textId="77777777" w:rsidR="00254DE9" w:rsidRDefault="00000000">
      <w:r>
        <w:t>The informational approach can be generalized beyond Gaussian KL divergence. Table 1 outlines the operational characteristics of alternative statistical divergences and probability metrics for governing survival extrapolation.</w:t>
      </w:r>
    </w:p>
    <w:tbl>
      <w:tblPr>
        <w:tblW w:w="0" w:type="auto"/>
        <w:jc w:val="center"/>
        <w:tblLook w:val="04A0" w:firstRow="1" w:lastRow="0" w:firstColumn="1" w:lastColumn="0" w:noHBand="0" w:noVBand="1"/>
      </w:tblPr>
      <w:tblGrid>
        <w:gridCol w:w="2340"/>
        <w:gridCol w:w="2340"/>
        <w:gridCol w:w="2340"/>
        <w:gridCol w:w="2340"/>
      </w:tblGrid>
      <w:tr w:rsidR="00254DE9" w14:paraId="536F9593" w14:textId="77777777">
        <w:trPr>
          <w:jc w:val="center"/>
        </w:trPr>
        <w:tc>
          <w:tcPr>
            <w:tcW w:w="2340" w:type="dxa"/>
            <w:shd w:val="clear" w:color="auto" w:fill="1A365D"/>
            <w:tcMar>
              <w:top w:w="100" w:type="dxa"/>
              <w:left w:w="120" w:type="dxa"/>
              <w:bottom w:w="100" w:type="dxa"/>
              <w:right w:w="120" w:type="dxa"/>
            </w:tcMar>
          </w:tcPr>
          <w:p w14:paraId="198668CB" w14:textId="77777777" w:rsidR="00254DE9" w:rsidRDefault="00000000">
            <w:pPr>
              <w:spacing w:after="0"/>
            </w:pPr>
            <w:r>
              <w:rPr>
                <w:b/>
                <w:color w:val="FFFFFF"/>
              </w:rPr>
              <w:t>Metric</w:t>
            </w:r>
          </w:p>
        </w:tc>
        <w:tc>
          <w:tcPr>
            <w:tcW w:w="2340" w:type="dxa"/>
            <w:shd w:val="clear" w:color="auto" w:fill="1A365D"/>
            <w:tcMar>
              <w:top w:w="100" w:type="dxa"/>
              <w:left w:w="120" w:type="dxa"/>
              <w:bottom w:w="100" w:type="dxa"/>
              <w:right w:w="120" w:type="dxa"/>
            </w:tcMar>
          </w:tcPr>
          <w:p w14:paraId="546F03FE" w14:textId="77777777" w:rsidR="00254DE9" w:rsidRDefault="00000000">
            <w:pPr>
              <w:spacing w:after="0"/>
            </w:pPr>
            <w:r>
              <w:rPr>
                <w:b/>
                <w:color w:val="FFFFFF"/>
              </w:rPr>
              <w:t>Mathematical Form</w:t>
            </w:r>
          </w:p>
        </w:tc>
        <w:tc>
          <w:tcPr>
            <w:tcW w:w="2340" w:type="dxa"/>
            <w:shd w:val="clear" w:color="auto" w:fill="1A365D"/>
            <w:tcMar>
              <w:top w:w="100" w:type="dxa"/>
              <w:left w:w="120" w:type="dxa"/>
              <w:bottom w:w="100" w:type="dxa"/>
              <w:right w:w="120" w:type="dxa"/>
            </w:tcMar>
          </w:tcPr>
          <w:p w14:paraId="41F915B8" w14:textId="77777777" w:rsidR="00254DE9" w:rsidRDefault="00000000">
            <w:pPr>
              <w:spacing w:after="0"/>
            </w:pPr>
            <w:r>
              <w:rPr>
                <w:b/>
                <w:color w:val="FFFFFF"/>
              </w:rPr>
              <w:t>Operational Dynamics</w:t>
            </w:r>
          </w:p>
        </w:tc>
        <w:tc>
          <w:tcPr>
            <w:tcW w:w="2340" w:type="dxa"/>
            <w:shd w:val="clear" w:color="auto" w:fill="1A365D"/>
            <w:tcMar>
              <w:top w:w="100" w:type="dxa"/>
              <w:left w:w="120" w:type="dxa"/>
              <w:bottom w:w="100" w:type="dxa"/>
              <w:right w:w="120" w:type="dxa"/>
            </w:tcMar>
          </w:tcPr>
          <w:p w14:paraId="0BC303A5" w14:textId="77777777" w:rsidR="00254DE9" w:rsidRDefault="00000000">
            <w:pPr>
              <w:spacing w:after="0"/>
            </w:pPr>
            <w:r>
              <w:rPr>
                <w:b/>
                <w:color w:val="FFFFFF"/>
              </w:rPr>
              <w:t>HTA Decision Utility</w:t>
            </w:r>
          </w:p>
        </w:tc>
      </w:tr>
      <w:tr w:rsidR="00254DE9" w14:paraId="4C98CD6B" w14:textId="77777777">
        <w:trPr>
          <w:jc w:val="center"/>
        </w:trPr>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7ACA10ED" w14:textId="77777777" w:rsidR="00254DE9" w:rsidRDefault="00000000">
            <w:pPr>
              <w:spacing w:after="0"/>
            </w:pPr>
            <w:r>
              <w:rPr>
                <w:b/>
                <w:color w:val="1A365D"/>
              </w:rPr>
              <w:t>Kullback–Leibler (KL)</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34F83CD9" w14:textId="77777777" w:rsidR="00254DE9" w:rsidRDefault="00000000">
            <w:pPr>
              <w:spacing w:after="0"/>
            </w:pPr>
            <w:r>
              <w:t>∫ p(s) ln(p(s)/q(s)) ds</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32432846" w14:textId="77777777" w:rsidR="00254DE9" w:rsidRDefault="00000000">
            <w:pPr>
              <w:spacing w:after="0"/>
            </w:pPr>
            <w:r>
              <w:t>Asymmetric, unbounded; heavily penalizes tail deviations.</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556CDE4B" w14:textId="77777777" w:rsidR="00254DE9" w:rsidRDefault="00000000">
            <w:pPr>
              <w:spacing w:after="0"/>
            </w:pPr>
            <w:r>
              <w:t>Rapidly registers precision collapse in small trials.</w:t>
            </w:r>
          </w:p>
        </w:tc>
      </w:tr>
      <w:tr w:rsidR="00254DE9" w14:paraId="33A823FA" w14:textId="77777777">
        <w:trPr>
          <w:jc w:val="center"/>
        </w:trPr>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1D0D6A79" w14:textId="77777777" w:rsidR="00254DE9" w:rsidRDefault="00000000">
            <w:pPr>
              <w:spacing w:after="0"/>
            </w:pPr>
            <w:r>
              <w:rPr>
                <w:b/>
                <w:color w:val="1A365D"/>
              </w:rPr>
              <w:t>Jensen–Shannon (JSD)</w:t>
            </w:r>
          </w:p>
        </w:tc>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26BA6D50" w14:textId="77777777" w:rsidR="00254DE9" w:rsidRDefault="00000000">
            <w:pPr>
              <w:spacing w:after="0"/>
            </w:pPr>
            <w:r>
              <w:t>0.5 D_KL(P||M) + 0.5 D_KL(Q||M)</w:t>
            </w:r>
          </w:p>
        </w:tc>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5900693B" w14:textId="77777777" w:rsidR="00254DE9" w:rsidRDefault="00000000">
            <w:pPr>
              <w:spacing w:after="0"/>
            </w:pPr>
            <w:r>
              <w:t>Symmetric, bounded [0, 1]; strictly stable everywhere.</w:t>
            </w:r>
          </w:p>
        </w:tc>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7FD1EE19" w14:textId="77777777" w:rsidR="00254DE9" w:rsidRDefault="00000000">
            <w:pPr>
              <w:spacing w:after="0"/>
            </w:pPr>
            <w:r>
              <w:t>Provides an organic, data-driven S-curve transition.</w:t>
            </w:r>
          </w:p>
        </w:tc>
      </w:tr>
      <w:tr w:rsidR="00254DE9" w14:paraId="238E8633" w14:textId="77777777">
        <w:trPr>
          <w:jc w:val="center"/>
        </w:trPr>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54790111" w14:textId="77777777" w:rsidR="00254DE9" w:rsidRDefault="00000000">
            <w:pPr>
              <w:spacing w:after="0"/>
            </w:pPr>
            <w:r>
              <w:rPr>
                <w:b/>
                <w:color w:val="1A365D"/>
              </w:rPr>
              <w:t>Hellinger (H²)</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412ABB73" w14:textId="77777777" w:rsidR="00254DE9" w:rsidRDefault="00000000">
            <w:pPr>
              <w:spacing w:after="0"/>
            </w:pPr>
            <w:r>
              <w:t>0.5 ∫ (√p - √q)² ds</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1F65EF30" w14:textId="77777777" w:rsidR="00254DE9" w:rsidRDefault="00000000">
            <w:pPr>
              <w:spacing w:after="0"/>
            </w:pPr>
            <w:r>
              <w:t>Bounded [0, 1]; square-root amplifies tail mass shifts.</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2495D80F" w14:textId="77777777" w:rsidR="00254DE9" w:rsidRDefault="00000000">
            <w:pPr>
              <w:spacing w:after="0"/>
            </w:pPr>
            <w:r>
              <w:t>Highly sensitive trigger for early treatment effect waning.</w:t>
            </w:r>
          </w:p>
        </w:tc>
      </w:tr>
      <w:tr w:rsidR="00254DE9" w14:paraId="2A38205C" w14:textId="77777777">
        <w:trPr>
          <w:jc w:val="center"/>
        </w:trPr>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2DBF28B2" w14:textId="77777777" w:rsidR="00254DE9" w:rsidRDefault="00000000">
            <w:pPr>
              <w:spacing w:after="0"/>
            </w:pPr>
            <w:r>
              <w:rPr>
                <w:b/>
                <w:color w:val="1A365D"/>
              </w:rPr>
              <w:t>1-Wasserstein (EMD)</w:t>
            </w:r>
          </w:p>
        </w:tc>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19890A29" w14:textId="77777777" w:rsidR="00254DE9" w:rsidRPr="00030128" w:rsidRDefault="00000000">
            <w:pPr>
              <w:spacing w:after="0"/>
              <w:rPr>
                <w:lang w:val="es-ES"/>
              </w:rPr>
            </w:pPr>
            <w:r w:rsidRPr="00030128">
              <w:rPr>
                <w:lang w:val="es-ES"/>
              </w:rPr>
              <w:t>∫ |</w:t>
            </w:r>
            <w:proofErr w:type="spellStart"/>
            <w:r w:rsidRPr="00030128">
              <w:rPr>
                <w:lang w:val="es-ES"/>
              </w:rPr>
              <w:t>S_obs</w:t>
            </w:r>
            <w:proofErr w:type="spellEnd"/>
            <w:r w:rsidRPr="00030128">
              <w:rPr>
                <w:lang w:val="es-ES"/>
              </w:rPr>
              <w:t xml:space="preserve">(u) - </w:t>
            </w:r>
            <w:proofErr w:type="spellStart"/>
            <w:r w:rsidRPr="00030128">
              <w:rPr>
                <w:lang w:val="es-ES"/>
              </w:rPr>
              <w:t>S_ext</w:t>
            </w:r>
            <w:proofErr w:type="spellEnd"/>
            <w:r w:rsidRPr="00030128">
              <w:rPr>
                <w:lang w:val="es-ES"/>
              </w:rPr>
              <w:t>(u)| du</w:t>
            </w:r>
          </w:p>
        </w:tc>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39578409" w14:textId="77777777" w:rsidR="00254DE9" w:rsidRDefault="00000000">
            <w:pPr>
              <w:spacing w:after="0"/>
            </w:pPr>
            <w:r>
              <w:t>Optimal transport work; linear in cumulative survival area.</w:t>
            </w:r>
          </w:p>
        </w:tc>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6D712F80" w14:textId="77777777" w:rsidR="00254DE9" w:rsidRDefault="00000000">
            <w:pPr>
              <w:spacing w:after="0"/>
            </w:pPr>
            <w:r>
              <w:t>Direct visual translation of Expected Opportunity Loss.</w:t>
            </w:r>
          </w:p>
        </w:tc>
      </w:tr>
    </w:tbl>
    <w:p w14:paraId="0ACA8633" w14:textId="64A0883D" w:rsidR="00254DE9" w:rsidRDefault="00254DE9"/>
    <w:p w14:paraId="168AFAB1" w14:textId="77777777" w:rsidR="00254DE9" w:rsidRDefault="00000000">
      <w:pPr>
        <w:keepNext/>
        <w:pBdr>
          <w:bottom w:val="single" w:sz="12" w:space="4" w:color="2B6CB0"/>
        </w:pBdr>
        <w:spacing w:before="320" w:after="120"/>
      </w:pPr>
      <w:r>
        <w:rPr>
          <w:b/>
          <w:color w:val="1A365D"/>
          <w:sz w:val="36"/>
        </w:rPr>
        <w:t>5. Methodological Comparison &amp; HTA Defensibility</w:t>
      </w:r>
    </w:p>
    <w:tbl>
      <w:tblPr>
        <w:tblW w:w="0" w:type="auto"/>
        <w:jc w:val="center"/>
        <w:tblLook w:val="04A0" w:firstRow="1" w:lastRow="0" w:firstColumn="1" w:lastColumn="0" w:noHBand="0" w:noVBand="1"/>
      </w:tblPr>
      <w:tblGrid>
        <w:gridCol w:w="2340"/>
        <w:gridCol w:w="2340"/>
        <w:gridCol w:w="2340"/>
        <w:gridCol w:w="2340"/>
      </w:tblGrid>
      <w:tr w:rsidR="00254DE9" w14:paraId="52629CFD" w14:textId="77777777">
        <w:trPr>
          <w:jc w:val="center"/>
        </w:trPr>
        <w:tc>
          <w:tcPr>
            <w:tcW w:w="2340" w:type="dxa"/>
            <w:shd w:val="clear" w:color="auto" w:fill="1A365D"/>
            <w:tcMar>
              <w:top w:w="100" w:type="dxa"/>
              <w:left w:w="120" w:type="dxa"/>
              <w:bottom w:w="100" w:type="dxa"/>
              <w:right w:w="120" w:type="dxa"/>
            </w:tcMar>
          </w:tcPr>
          <w:p w14:paraId="6CC01990" w14:textId="77777777" w:rsidR="00254DE9" w:rsidRDefault="00000000">
            <w:pPr>
              <w:spacing w:after="0"/>
            </w:pPr>
            <w:r>
              <w:rPr>
                <w:b/>
                <w:color w:val="FFFFFF"/>
              </w:rPr>
              <w:t>Framework</w:t>
            </w:r>
          </w:p>
        </w:tc>
        <w:tc>
          <w:tcPr>
            <w:tcW w:w="2340" w:type="dxa"/>
            <w:shd w:val="clear" w:color="auto" w:fill="1A365D"/>
            <w:tcMar>
              <w:top w:w="100" w:type="dxa"/>
              <w:left w:w="120" w:type="dxa"/>
              <w:bottom w:w="100" w:type="dxa"/>
              <w:right w:w="120" w:type="dxa"/>
            </w:tcMar>
          </w:tcPr>
          <w:p w14:paraId="20A18B2C" w14:textId="77777777" w:rsidR="00254DE9" w:rsidRDefault="00000000">
            <w:pPr>
              <w:spacing w:after="0"/>
            </w:pPr>
            <w:r>
              <w:rPr>
                <w:b/>
                <w:color w:val="FFFFFF"/>
              </w:rPr>
              <w:t>Parameters Required</w:t>
            </w:r>
          </w:p>
        </w:tc>
        <w:tc>
          <w:tcPr>
            <w:tcW w:w="2340" w:type="dxa"/>
            <w:shd w:val="clear" w:color="auto" w:fill="1A365D"/>
            <w:tcMar>
              <w:top w:w="100" w:type="dxa"/>
              <w:left w:w="120" w:type="dxa"/>
              <w:bottom w:w="100" w:type="dxa"/>
              <w:right w:w="120" w:type="dxa"/>
            </w:tcMar>
          </w:tcPr>
          <w:p w14:paraId="7064D326" w14:textId="77777777" w:rsidR="00254DE9" w:rsidRDefault="00000000">
            <w:pPr>
              <w:spacing w:after="0"/>
            </w:pPr>
            <w:r>
              <w:rPr>
                <w:b/>
                <w:color w:val="FFFFFF"/>
              </w:rPr>
              <w:t>Uncertainty Response</w:t>
            </w:r>
          </w:p>
        </w:tc>
        <w:tc>
          <w:tcPr>
            <w:tcW w:w="2340" w:type="dxa"/>
            <w:shd w:val="clear" w:color="auto" w:fill="1A365D"/>
            <w:tcMar>
              <w:top w:w="100" w:type="dxa"/>
              <w:left w:w="120" w:type="dxa"/>
              <w:bottom w:w="100" w:type="dxa"/>
              <w:right w:w="120" w:type="dxa"/>
            </w:tcMar>
          </w:tcPr>
          <w:p w14:paraId="67055389" w14:textId="77777777" w:rsidR="00254DE9" w:rsidRDefault="00000000">
            <w:pPr>
              <w:spacing w:after="0"/>
            </w:pPr>
            <w:r>
              <w:rPr>
                <w:b/>
                <w:color w:val="FFFFFF"/>
              </w:rPr>
              <w:t>Hazard Smoothness</w:t>
            </w:r>
          </w:p>
        </w:tc>
      </w:tr>
      <w:tr w:rsidR="00254DE9" w14:paraId="619613FA" w14:textId="77777777">
        <w:trPr>
          <w:jc w:val="center"/>
        </w:trPr>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2C2D772B" w14:textId="77777777" w:rsidR="00254DE9" w:rsidRDefault="00000000">
            <w:pPr>
              <w:spacing w:after="0"/>
            </w:pPr>
            <w:r>
              <w:rPr>
                <w:b/>
                <w:color w:val="1A365D"/>
              </w:rPr>
              <w:t>Standard Beta (Che/Zhu)</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67417D9E" w14:textId="77777777" w:rsidR="00254DE9" w:rsidRDefault="00000000">
            <w:pPr>
              <w:spacing w:after="0"/>
            </w:pPr>
            <w:r>
              <w:t>4 Subjective (t1, t2, a, b)</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567CFDCC" w14:textId="77777777" w:rsidR="00254DE9" w:rsidRDefault="00000000">
            <w:pPr>
              <w:spacing w:after="0"/>
            </w:pPr>
            <w:r>
              <w:t>Static; blind to sample size or variance explosion</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14216E6D" w14:textId="77777777" w:rsidR="00254DE9" w:rsidRDefault="00000000">
            <w:pPr>
              <w:spacing w:after="0"/>
            </w:pPr>
            <w:r>
              <w:t>C¹ continuous only if a, b &gt; 1</w:t>
            </w:r>
          </w:p>
        </w:tc>
      </w:tr>
      <w:tr w:rsidR="00254DE9" w14:paraId="75E7F87D" w14:textId="77777777">
        <w:trPr>
          <w:jc w:val="center"/>
        </w:trPr>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5589497E" w14:textId="77777777" w:rsidR="00254DE9" w:rsidRDefault="00000000">
            <w:pPr>
              <w:spacing w:after="0"/>
            </w:pPr>
            <w:r>
              <w:rPr>
                <w:b/>
                <w:color w:val="1A365D"/>
              </w:rPr>
              <w:t>Approach 1 (KL Clock)</w:t>
            </w:r>
          </w:p>
        </w:tc>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0ED5414A" w14:textId="77777777" w:rsidR="00254DE9" w:rsidRDefault="00000000">
            <w:pPr>
              <w:spacing w:after="0"/>
            </w:pPr>
            <w:r>
              <w:t xml:space="preserve">2 Boundary Limits (t1, </w:t>
            </w:r>
            <w:r>
              <w:lastRenderedPageBreak/>
              <w:t>t2)</w:t>
            </w:r>
          </w:p>
        </w:tc>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2636778C" w14:textId="77777777" w:rsidR="00254DE9" w:rsidRDefault="00000000">
            <w:pPr>
              <w:spacing w:after="0"/>
            </w:pPr>
            <w:r>
              <w:lastRenderedPageBreak/>
              <w:t xml:space="preserve">Dynamic; accelerates </w:t>
            </w:r>
            <w:r>
              <w:lastRenderedPageBreak/>
              <w:t>clock as trial variance inflates</w:t>
            </w:r>
          </w:p>
        </w:tc>
        <w:tc>
          <w:tcPr>
            <w:tcW w:w="2340" w:type="dxa"/>
            <w:tcBorders>
              <w:top w:val="single" w:sz="4" w:space="0" w:color="CBD5E0"/>
              <w:bottom w:val="single" w:sz="4" w:space="0" w:color="CBD5E0"/>
            </w:tcBorders>
            <w:shd w:val="clear" w:color="auto" w:fill="F7FAFC"/>
            <w:tcMar>
              <w:top w:w="80" w:type="dxa"/>
              <w:left w:w="100" w:type="dxa"/>
              <w:bottom w:w="80" w:type="dxa"/>
              <w:right w:w="100" w:type="dxa"/>
            </w:tcMar>
          </w:tcPr>
          <w:p w14:paraId="1294EA2A" w14:textId="77777777" w:rsidR="00254DE9" w:rsidRDefault="00000000">
            <w:pPr>
              <w:spacing w:after="0"/>
            </w:pPr>
            <w:r>
              <w:lastRenderedPageBreak/>
              <w:t xml:space="preserve">Strictly C¹ continuous </w:t>
            </w:r>
            <w:r>
              <w:lastRenderedPageBreak/>
              <w:t>via window taper</w:t>
            </w:r>
          </w:p>
        </w:tc>
      </w:tr>
      <w:tr w:rsidR="00254DE9" w14:paraId="0585F359" w14:textId="77777777">
        <w:trPr>
          <w:jc w:val="center"/>
        </w:trPr>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5F34CC31" w14:textId="77777777" w:rsidR="00254DE9" w:rsidRDefault="00000000">
            <w:pPr>
              <w:spacing w:after="0"/>
            </w:pPr>
            <w:r>
              <w:rPr>
                <w:b/>
                <w:color w:val="1A365D"/>
              </w:rPr>
              <w:lastRenderedPageBreak/>
              <w:t>Approach 2 (Barycenter)</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078A6C84" w14:textId="77777777" w:rsidR="00254DE9" w:rsidRDefault="00000000">
            <w:pPr>
              <w:spacing w:after="0"/>
            </w:pPr>
            <w:r>
              <w:t>2 Boundary Limits (t1, t2)</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6471A8F7" w14:textId="77777777" w:rsidR="00254DE9" w:rsidRDefault="00000000">
            <w:pPr>
              <w:spacing w:after="0"/>
            </w:pPr>
            <w:r>
              <w:t>Intrinsic; precision directly pulls curve to anchor</w:t>
            </w:r>
          </w:p>
        </w:tc>
        <w:tc>
          <w:tcPr>
            <w:tcW w:w="2340" w:type="dxa"/>
            <w:tcBorders>
              <w:top w:val="single" w:sz="4" w:space="0" w:color="CBD5E0"/>
              <w:bottom w:val="single" w:sz="4" w:space="0" w:color="CBD5E0"/>
            </w:tcBorders>
            <w:shd w:val="clear" w:color="auto" w:fill="FFFFFF"/>
            <w:tcMar>
              <w:top w:w="80" w:type="dxa"/>
              <w:left w:w="100" w:type="dxa"/>
              <w:bottom w:w="80" w:type="dxa"/>
              <w:right w:w="100" w:type="dxa"/>
            </w:tcMar>
          </w:tcPr>
          <w:p w14:paraId="776C0197" w14:textId="77777777" w:rsidR="00254DE9" w:rsidRDefault="00000000">
            <w:pPr>
              <w:spacing w:after="0"/>
            </w:pPr>
            <w:r>
              <w:t>Strictly C¹ continuous via smoothstep λ(t)</w:t>
            </w:r>
          </w:p>
        </w:tc>
      </w:tr>
    </w:tbl>
    <w:p w14:paraId="7ED5499C" w14:textId="77777777" w:rsidR="00254DE9" w:rsidRDefault="00254DE9">
      <w:pPr>
        <w:spacing w:after="160"/>
      </w:pPr>
    </w:p>
    <w:p w14:paraId="242266BE" w14:textId="39C72956" w:rsidR="00030128" w:rsidRDefault="00030128">
      <w:pPr>
        <w:spacing w:after="160"/>
      </w:pPr>
      <w:r>
        <w:rPr>
          <w:noProof/>
        </w:rPr>
        <w:drawing>
          <wp:inline distT="0" distB="0" distL="0" distR="0" wp14:anchorId="08E1F745" wp14:editId="681CF3F0">
            <wp:extent cx="6477000" cy="4695825"/>
            <wp:effectExtent l="0" t="0" r="0" b="9525"/>
            <wp:docPr id="213485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7000" cy="4695825"/>
                    </a:xfrm>
                    <a:prstGeom prst="rect">
                      <a:avLst/>
                    </a:prstGeom>
                    <a:noFill/>
                  </pic:spPr>
                </pic:pic>
              </a:graphicData>
            </a:graphic>
          </wp:inline>
        </w:drawing>
      </w:r>
    </w:p>
    <w:sectPr w:rsidR="0003012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9662742">
    <w:abstractNumId w:val="8"/>
  </w:num>
  <w:num w:numId="2" w16cid:durableId="1793012234">
    <w:abstractNumId w:val="6"/>
  </w:num>
  <w:num w:numId="3" w16cid:durableId="824735531">
    <w:abstractNumId w:val="5"/>
  </w:num>
  <w:num w:numId="4" w16cid:durableId="718210963">
    <w:abstractNumId w:val="4"/>
  </w:num>
  <w:num w:numId="5" w16cid:durableId="636422717">
    <w:abstractNumId w:val="7"/>
  </w:num>
  <w:num w:numId="6" w16cid:durableId="899024203">
    <w:abstractNumId w:val="3"/>
  </w:num>
  <w:num w:numId="7" w16cid:durableId="1828934479">
    <w:abstractNumId w:val="2"/>
  </w:num>
  <w:num w:numId="8" w16cid:durableId="1208185046">
    <w:abstractNumId w:val="1"/>
  </w:num>
  <w:num w:numId="9" w16cid:durableId="40889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28"/>
    <w:rsid w:val="00034616"/>
    <w:rsid w:val="0006063C"/>
    <w:rsid w:val="0015074B"/>
    <w:rsid w:val="00254DE9"/>
    <w:rsid w:val="0029639D"/>
    <w:rsid w:val="00326F90"/>
    <w:rsid w:val="00364B54"/>
    <w:rsid w:val="00460A3D"/>
    <w:rsid w:val="0093457E"/>
    <w:rsid w:val="00AA1D8D"/>
    <w:rsid w:val="00B30B9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108C2"/>
  <w14:defaultImageDpi w14:val="300"/>
  <w15:docId w15:val="{4EB31A01-4640-4190-AD57-5ECCEB1A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30B94"/>
    <w:rPr>
      <w:color w:val="0000FF" w:themeColor="hyperlink"/>
      <w:u w:val="single"/>
    </w:rPr>
  </w:style>
  <w:style w:type="character" w:styleId="UnresolvedMention">
    <w:name w:val="Unresolved Mention"/>
    <w:basedOn w:val="DefaultParagraphFont"/>
    <w:uiPriority w:val="99"/>
    <w:semiHidden/>
    <w:unhideWhenUsed/>
    <w:rsid w:val="00B30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hare.gemini.google/IGTnWJHCKeQ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1110</Words>
  <Characters>6331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Green</cp:lastModifiedBy>
  <cp:revision>5</cp:revision>
  <dcterms:created xsi:type="dcterms:W3CDTF">2013-12-23T23:15:00Z</dcterms:created>
  <dcterms:modified xsi:type="dcterms:W3CDTF">2026-10-27T16:44:00Z</dcterms:modified>
  <cp:category/>
</cp:coreProperties>
</file>