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C32" w:rsidRDefault="00F738F0" w:rsidP="00F738F0">
      <w:pPr>
        <w:spacing w:line="240" w:lineRule="auto"/>
        <w:rPr>
          <w:rFonts w:ascii="Times New Roman" w:hAnsi="Times New Roman" w:cs="Times New Roman"/>
          <w:sz w:val="28"/>
          <w:szCs w:val="28"/>
          <w:lang w:val="en-US"/>
        </w:rPr>
      </w:pPr>
      <w:r w:rsidRPr="00F738F0">
        <w:rPr>
          <w:rFonts w:ascii="Times New Roman" w:hAnsi="Times New Roman" w:cs="Times New Roman"/>
          <w:sz w:val="28"/>
          <w:szCs w:val="28"/>
          <w:lang w:val="en-US"/>
        </w:rPr>
        <w:t xml:space="preserve">Shkurovich Anton </w:t>
      </w:r>
      <w:proofErr w:type="spellStart"/>
      <w:r w:rsidRPr="00F738F0">
        <w:rPr>
          <w:rFonts w:ascii="Times New Roman" w:hAnsi="Times New Roman" w:cs="Times New Roman"/>
          <w:sz w:val="28"/>
          <w:szCs w:val="28"/>
          <w:lang w:val="en-US"/>
        </w:rPr>
        <w:t>Leonidovich</w:t>
      </w:r>
      <w:proofErr w:type="spellEnd"/>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1E3B8E" w:rsidTr="00176C4F">
        <w:trPr>
          <w:trHeight w:val="322"/>
        </w:trPr>
        <w:tc>
          <w:tcPr>
            <w:tcW w:w="9571" w:type="dxa"/>
            <w:gridSpan w:val="2"/>
            <w:vAlign w:val="center"/>
          </w:tcPr>
          <w:p w:rsidR="001E3B8E" w:rsidRDefault="001E3B8E" w:rsidP="000D0993">
            <w:pPr>
              <w:spacing w:before="240" w:after="120"/>
              <w:rPr>
                <w:rFonts w:ascii="Times New Roman" w:hAnsi="Times New Roman" w:cs="Times New Roman"/>
                <w:b/>
                <w:u w:val="single"/>
                <w:lang w:val="en-US"/>
              </w:rPr>
            </w:pPr>
            <w:r w:rsidRPr="00F738F0">
              <w:rPr>
                <w:rFonts w:ascii="Times New Roman" w:hAnsi="Times New Roman" w:cs="Times New Roman"/>
                <w:b/>
                <w:u w:val="single"/>
                <w:lang w:val="en-US"/>
              </w:rPr>
              <w:t>General information:</w:t>
            </w:r>
          </w:p>
        </w:tc>
      </w:tr>
      <w:tr w:rsidR="001E3B8E" w:rsidTr="00176C4F">
        <w:trPr>
          <w:trHeight w:val="414"/>
        </w:trPr>
        <w:tc>
          <w:tcPr>
            <w:tcW w:w="2802" w:type="dxa"/>
            <w:vAlign w:val="center"/>
          </w:tcPr>
          <w:p w:rsidR="001E3B8E" w:rsidRPr="001E3B8E" w:rsidRDefault="001E3B8E" w:rsidP="000D0993">
            <w:pPr>
              <w:spacing w:before="240" w:after="120"/>
              <w:rPr>
                <w:rFonts w:ascii="Times New Roman" w:hAnsi="Times New Roman" w:cs="Times New Roman"/>
                <w:lang w:val="en-US"/>
              </w:rPr>
            </w:pPr>
            <w:r>
              <w:rPr>
                <w:rFonts w:ascii="Times New Roman" w:hAnsi="Times New Roman" w:cs="Times New Roman"/>
                <w:b/>
                <w:lang w:val="en-US"/>
              </w:rPr>
              <w:t xml:space="preserve">Age </w:t>
            </w:r>
            <w:r>
              <w:rPr>
                <w:rFonts w:ascii="Times New Roman" w:hAnsi="Times New Roman" w:cs="Times New Roman"/>
                <w:b/>
                <w:lang w:val="en-US"/>
              </w:rPr>
              <w:tab/>
            </w:r>
            <w:r>
              <w:rPr>
                <w:rFonts w:ascii="Times New Roman" w:hAnsi="Times New Roman" w:cs="Times New Roman"/>
                <w:b/>
                <w:lang w:val="en-US"/>
              </w:rPr>
              <w:tab/>
            </w:r>
          </w:p>
        </w:tc>
        <w:tc>
          <w:tcPr>
            <w:tcW w:w="6769" w:type="dxa"/>
            <w:vAlign w:val="center"/>
          </w:tcPr>
          <w:p w:rsidR="001E3B8E" w:rsidRDefault="008B6FB3" w:rsidP="00E1448D">
            <w:pPr>
              <w:spacing w:before="240" w:after="120"/>
              <w:rPr>
                <w:rFonts w:ascii="Times New Roman" w:hAnsi="Times New Roman" w:cs="Times New Roman"/>
                <w:b/>
                <w:u w:val="single"/>
                <w:lang w:val="en-US"/>
              </w:rPr>
            </w:pPr>
            <w:r>
              <w:rPr>
                <w:rFonts w:ascii="Times New Roman" w:hAnsi="Times New Roman" w:cs="Times New Roman"/>
              </w:rPr>
              <w:t xml:space="preserve">30 </w:t>
            </w:r>
            <w:r w:rsidR="00063DAC">
              <w:rPr>
                <w:rFonts w:ascii="Times New Roman" w:hAnsi="Times New Roman" w:cs="Times New Roman"/>
                <w:lang w:val="en-US"/>
              </w:rPr>
              <w:t>year</w:t>
            </w:r>
            <w:r w:rsidR="00ED62B6">
              <w:rPr>
                <w:rFonts w:ascii="Times New Roman" w:hAnsi="Times New Roman" w:cs="Times New Roman"/>
                <w:lang w:val="en-US"/>
              </w:rPr>
              <w:t>s</w:t>
            </w:r>
            <w:r w:rsidR="001E3B8E" w:rsidRPr="00F738F0">
              <w:rPr>
                <w:rFonts w:ascii="Times New Roman" w:hAnsi="Times New Roman" w:cs="Times New Roman"/>
                <w:lang w:val="en-US"/>
              </w:rPr>
              <w:t xml:space="preserve"> old (25.09.1988)</w:t>
            </w:r>
          </w:p>
        </w:tc>
      </w:tr>
      <w:tr w:rsidR="001E3B8E" w:rsidTr="00176C4F">
        <w:trPr>
          <w:trHeight w:val="432"/>
        </w:trPr>
        <w:tc>
          <w:tcPr>
            <w:tcW w:w="2802" w:type="dxa"/>
            <w:vAlign w:val="center"/>
          </w:tcPr>
          <w:p w:rsidR="001E3B8E" w:rsidRPr="001E3B8E" w:rsidRDefault="001E3B8E" w:rsidP="000D0993">
            <w:pPr>
              <w:spacing w:before="240" w:after="120"/>
              <w:rPr>
                <w:rFonts w:ascii="Times New Roman" w:hAnsi="Times New Roman" w:cs="Times New Roman"/>
                <w:lang w:val="en-US"/>
              </w:rPr>
            </w:pPr>
            <w:r w:rsidRPr="00F738F0">
              <w:rPr>
                <w:rFonts w:ascii="Times New Roman" w:hAnsi="Times New Roman" w:cs="Times New Roman"/>
                <w:b/>
                <w:lang w:val="en-US"/>
              </w:rPr>
              <w:t>Sex</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tc>
        <w:tc>
          <w:tcPr>
            <w:tcW w:w="6769" w:type="dxa"/>
            <w:vAlign w:val="center"/>
          </w:tcPr>
          <w:p w:rsidR="001E3B8E" w:rsidRDefault="001E3B8E" w:rsidP="000D0993">
            <w:pPr>
              <w:spacing w:before="240" w:after="120"/>
              <w:rPr>
                <w:rFonts w:ascii="Times New Roman" w:hAnsi="Times New Roman" w:cs="Times New Roman"/>
                <w:b/>
                <w:u w:val="single"/>
                <w:lang w:val="en-US"/>
              </w:rPr>
            </w:pPr>
            <w:r>
              <w:rPr>
                <w:rFonts w:ascii="Times New Roman" w:hAnsi="Times New Roman" w:cs="Times New Roman"/>
                <w:lang w:val="en-US"/>
              </w:rPr>
              <w:t>Male</w:t>
            </w:r>
          </w:p>
        </w:tc>
      </w:tr>
      <w:tr w:rsidR="001E3B8E" w:rsidTr="00176C4F">
        <w:tc>
          <w:tcPr>
            <w:tcW w:w="2802" w:type="dxa"/>
            <w:vAlign w:val="center"/>
          </w:tcPr>
          <w:p w:rsidR="001E3B8E" w:rsidRPr="001E3B8E" w:rsidRDefault="001E3B8E" w:rsidP="000D0993">
            <w:pPr>
              <w:spacing w:before="240" w:after="120"/>
              <w:rPr>
                <w:rFonts w:ascii="Times New Roman" w:hAnsi="Times New Roman" w:cs="Times New Roman"/>
                <w:lang w:val="en-US"/>
              </w:rPr>
            </w:pPr>
            <w:r w:rsidRPr="00F738F0">
              <w:rPr>
                <w:rFonts w:ascii="Times New Roman" w:hAnsi="Times New Roman" w:cs="Times New Roman"/>
                <w:b/>
                <w:lang w:val="en-US"/>
              </w:rPr>
              <w:t>Place of living</w:t>
            </w:r>
            <w:r>
              <w:rPr>
                <w:rFonts w:ascii="Times New Roman" w:hAnsi="Times New Roman" w:cs="Times New Roman"/>
                <w:lang w:val="en-US"/>
              </w:rPr>
              <w:tab/>
            </w:r>
            <w:r>
              <w:rPr>
                <w:rFonts w:ascii="Times New Roman" w:hAnsi="Times New Roman" w:cs="Times New Roman"/>
                <w:lang w:val="en-US"/>
              </w:rPr>
              <w:tab/>
            </w:r>
          </w:p>
        </w:tc>
        <w:tc>
          <w:tcPr>
            <w:tcW w:w="6769" w:type="dxa"/>
            <w:vAlign w:val="center"/>
          </w:tcPr>
          <w:p w:rsidR="001E3B8E" w:rsidRDefault="001E3B8E" w:rsidP="000D0993">
            <w:pPr>
              <w:spacing w:before="240" w:after="120"/>
              <w:rPr>
                <w:rFonts w:ascii="Times New Roman" w:hAnsi="Times New Roman" w:cs="Times New Roman"/>
                <w:b/>
                <w:u w:val="single"/>
                <w:lang w:val="en-US"/>
              </w:rPr>
            </w:pPr>
            <w:r w:rsidRPr="00F738F0">
              <w:rPr>
                <w:rFonts w:ascii="Times New Roman" w:hAnsi="Times New Roman" w:cs="Times New Roman"/>
                <w:lang w:val="en-US"/>
              </w:rPr>
              <w:t>Moscow</w:t>
            </w:r>
            <w:r w:rsidR="00ED62B6">
              <w:rPr>
                <w:rFonts w:ascii="Times New Roman" w:hAnsi="Times New Roman" w:cs="Times New Roman"/>
                <w:lang w:val="en-US"/>
              </w:rPr>
              <w:t xml:space="preserve">, </w:t>
            </w:r>
            <w:proofErr w:type="spellStart"/>
            <w:r w:rsidR="00ED62B6">
              <w:rPr>
                <w:rFonts w:ascii="Times New Roman" w:hAnsi="Times New Roman" w:cs="Times New Roman"/>
                <w:lang w:val="en-US"/>
              </w:rPr>
              <w:t>Akademicheskaya</w:t>
            </w:r>
            <w:proofErr w:type="spellEnd"/>
            <w:r w:rsidR="00ED62B6">
              <w:rPr>
                <w:rFonts w:ascii="Times New Roman" w:hAnsi="Times New Roman" w:cs="Times New Roman"/>
                <w:lang w:val="en-US"/>
              </w:rPr>
              <w:t xml:space="preserve"> tube station</w:t>
            </w:r>
          </w:p>
        </w:tc>
      </w:tr>
      <w:tr w:rsidR="001E3B8E" w:rsidTr="00176C4F">
        <w:trPr>
          <w:trHeight w:val="326"/>
        </w:trPr>
        <w:tc>
          <w:tcPr>
            <w:tcW w:w="2802" w:type="dxa"/>
            <w:vAlign w:val="center"/>
          </w:tcPr>
          <w:p w:rsidR="001E3B8E" w:rsidRDefault="001E3B8E" w:rsidP="000D0993">
            <w:pPr>
              <w:spacing w:before="240" w:after="120"/>
              <w:rPr>
                <w:rFonts w:ascii="Times New Roman" w:hAnsi="Times New Roman" w:cs="Times New Roman"/>
                <w:b/>
                <w:u w:val="single"/>
                <w:lang w:val="en-US"/>
              </w:rPr>
            </w:pPr>
            <w:r w:rsidRPr="00F738F0">
              <w:rPr>
                <w:rFonts w:ascii="Times New Roman" w:hAnsi="Times New Roman" w:cs="Times New Roman"/>
                <w:b/>
                <w:lang w:val="en-US"/>
              </w:rPr>
              <w:t>Cell</w:t>
            </w:r>
            <w:r>
              <w:rPr>
                <w:rFonts w:ascii="Times New Roman" w:hAnsi="Times New Roman" w:cs="Times New Roman"/>
                <w:b/>
                <w:lang w:val="en-US"/>
              </w:rPr>
              <w:t xml:space="preserve"> phone</w:t>
            </w:r>
            <w:r>
              <w:rPr>
                <w:rFonts w:ascii="Times New Roman" w:hAnsi="Times New Roman" w:cs="Times New Roman"/>
                <w:b/>
                <w:lang w:val="en-US"/>
              </w:rPr>
              <w:tab/>
            </w:r>
          </w:p>
        </w:tc>
        <w:tc>
          <w:tcPr>
            <w:tcW w:w="6769" w:type="dxa"/>
            <w:vAlign w:val="center"/>
          </w:tcPr>
          <w:p w:rsidR="001E3B8E" w:rsidRDefault="001E3B8E" w:rsidP="000D0993">
            <w:pPr>
              <w:spacing w:before="240" w:after="120"/>
              <w:rPr>
                <w:rFonts w:ascii="Times New Roman" w:hAnsi="Times New Roman" w:cs="Times New Roman"/>
                <w:b/>
                <w:u w:val="single"/>
                <w:lang w:val="en-US"/>
              </w:rPr>
            </w:pPr>
            <w:r w:rsidRPr="00F738F0">
              <w:rPr>
                <w:rFonts w:ascii="Times New Roman" w:hAnsi="Times New Roman" w:cs="Times New Roman"/>
                <w:lang w:val="en-US"/>
              </w:rPr>
              <w:t>+7</w:t>
            </w:r>
            <w:r>
              <w:rPr>
                <w:rFonts w:ascii="Times New Roman" w:hAnsi="Times New Roman" w:cs="Times New Roman"/>
                <w:lang w:val="en-US"/>
              </w:rPr>
              <w:t xml:space="preserve"> (</w:t>
            </w:r>
            <w:r w:rsidRPr="00F738F0">
              <w:rPr>
                <w:rFonts w:ascii="Times New Roman" w:hAnsi="Times New Roman" w:cs="Times New Roman"/>
                <w:lang w:val="en-US"/>
              </w:rPr>
              <w:t>910</w:t>
            </w:r>
            <w:r>
              <w:rPr>
                <w:rFonts w:ascii="Times New Roman" w:hAnsi="Times New Roman" w:cs="Times New Roman"/>
                <w:lang w:val="en-US"/>
              </w:rPr>
              <w:t>)</w:t>
            </w:r>
            <w:r w:rsidRPr="00F738F0">
              <w:rPr>
                <w:rFonts w:ascii="Times New Roman" w:hAnsi="Times New Roman" w:cs="Times New Roman"/>
                <w:lang w:val="en-US"/>
              </w:rPr>
              <w:t xml:space="preserve"> 459 0411</w:t>
            </w:r>
          </w:p>
        </w:tc>
      </w:tr>
      <w:tr w:rsidR="001E3B8E" w:rsidTr="000D0993">
        <w:trPr>
          <w:trHeight w:val="70"/>
        </w:trPr>
        <w:tc>
          <w:tcPr>
            <w:tcW w:w="2802" w:type="dxa"/>
            <w:tcBorders>
              <w:bottom w:val="single" w:sz="4" w:space="0" w:color="000000" w:themeColor="text1"/>
            </w:tcBorders>
            <w:vAlign w:val="center"/>
          </w:tcPr>
          <w:p w:rsidR="001E3B8E" w:rsidRDefault="001E3B8E" w:rsidP="000D0993">
            <w:pPr>
              <w:spacing w:before="240" w:after="120"/>
              <w:rPr>
                <w:rFonts w:ascii="Times New Roman" w:hAnsi="Times New Roman" w:cs="Times New Roman"/>
                <w:b/>
                <w:u w:val="single"/>
                <w:lang w:val="en-US"/>
              </w:rPr>
            </w:pPr>
            <w:r w:rsidRPr="00F738F0">
              <w:rPr>
                <w:rFonts w:ascii="Times New Roman" w:hAnsi="Times New Roman" w:cs="Times New Roman"/>
                <w:b/>
                <w:lang w:val="en-US"/>
              </w:rPr>
              <w:t>E-mail</w:t>
            </w:r>
            <w:r>
              <w:rPr>
                <w:rFonts w:ascii="Times New Roman" w:hAnsi="Times New Roman" w:cs="Times New Roman"/>
                <w:lang w:val="en-US"/>
              </w:rPr>
              <w:tab/>
            </w:r>
            <w:r>
              <w:rPr>
                <w:rFonts w:ascii="Times New Roman" w:hAnsi="Times New Roman" w:cs="Times New Roman"/>
                <w:lang w:val="en-US"/>
              </w:rPr>
              <w:tab/>
            </w:r>
          </w:p>
        </w:tc>
        <w:tc>
          <w:tcPr>
            <w:tcW w:w="6769" w:type="dxa"/>
            <w:tcBorders>
              <w:bottom w:val="single" w:sz="4" w:space="0" w:color="000000" w:themeColor="text1"/>
            </w:tcBorders>
            <w:vAlign w:val="center"/>
          </w:tcPr>
          <w:p w:rsidR="001E3B8E" w:rsidRDefault="003E60A5" w:rsidP="000D0993">
            <w:pPr>
              <w:spacing w:before="240" w:after="120"/>
              <w:rPr>
                <w:rFonts w:ascii="Times New Roman" w:hAnsi="Times New Roman" w:cs="Times New Roman"/>
                <w:b/>
                <w:u w:val="single"/>
                <w:lang w:val="en-US"/>
              </w:rPr>
            </w:pPr>
            <w:hyperlink r:id="rId5" w:history="1">
              <w:r w:rsidRPr="00CF5356">
                <w:rPr>
                  <w:rStyle w:val="a5"/>
                  <w:rFonts w:ascii="Times New Roman" w:hAnsi="Times New Roman" w:cs="Times New Roman"/>
                  <w:lang w:val="en-US"/>
                </w:rPr>
                <w:t>shkurovicha@mail.ru</w:t>
              </w:r>
            </w:hyperlink>
          </w:p>
        </w:tc>
      </w:tr>
      <w:tr w:rsidR="001E3B8E" w:rsidTr="000D0993">
        <w:trPr>
          <w:trHeight w:val="186"/>
        </w:trPr>
        <w:tc>
          <w:tcPr>
            <w:tcW w:w="9571" w:type="dxa"/>
            <w:gridSpan w:val="2"/>
            <w:tcBorders>
              <w:top w:val="single" w:sz="4" w:space="0" w:color="000000" w:themeColor="text1"/>
            </w:tcBorders>
            <w:vAlign w:val="center"/>
          </w:tcPr>
          <w:p w:rsidR="001E3B8E" w:rsidRDefault="001E3B8E" w:rsidP="000D0993">
            <w:pPr>
              <w:spacing w:before="240" w:after="120"/>
              <w:rPr>
                <w:rFonts w:ascii="Times New Roman" w:hAnsi="Times New Roman" w:cs="Times New Roman"/>
                <w:b/>
                <w:u w:val="single"/>
                <w:lang w:val="en-US"/>
              </w:rPr>
            </w:pPr>
            <w:r w:rsidRPr="00F738F0">
              <w:rPr>
                <w:rFonts w:ascii="Times New Roman" w:hAnsi="Times New Roman" w:cs="Times New Roman"/>
                <w:b/>
                <w:u w:val="single"/>
                <w:lang w:val="en-US"/>
              </w:rPr>
              <w:t>Education:</w:t>
            </w:r>
          </w:p>
        </w:tc>
      </w:tr>
      <w:tr w:rsidR="001E3B8E" w:rsidRPr="008B6FB3" w:rsidTr="00176C4F">
        <w:tc>
          <w:tcPr>
            <w:tcW w:w="2802" w:type="dxa"/>
            <w:vAlign w:val="center"/>
          </w:tcPr>
          <w:p w:rsidR="001E3B8E" w:rsidRDefault="001E3B8E" w:rsidP="000D0993">
            <w:pPr>
              <w:spacing w:before="240" w:after="120"/>
              <w:rPr>
                <w:rFonts w:ascii="Times New Roman" w:hAnsi="Times New Roman" w:cs="Times New Roman"/>
                <w:b/>
                <w:u w:val="single"/>
                <w:lang w:val="en-US"/>
              </w:rPr>
            </w:pPr>
            <w:r w:rsidRPr="00F738F0">
              <w:rPr>
                <w:rFonts w:ascii="Times New Roman" w:hAnsi="Times New Roman" w:cs="Times New Roman"/>
                <w:b/>
                <w:lang w:val="en-US"/>
              </w:rPr>
              <w:t>University</w:t>
            </w:r>
            <w:r>
              <w:rPr>
                <w:rFonts w:ascii="Times New Roman" w:hAnsi="Times New Roman" w:cs="Times New Roman"/>
                <w:b/>
                <w:lang w:val="en-US"/>
              </w:rPr>
              <w:tab/>
            </w:r>
          </w:p>
        </w:tc>
        <w:tc>
          <w:tcPr>
            <w:tcW w:w="6769" w:type="dxa"/>
            <w:vAlign w:val="center"/>
          </w:tcPr>
          <w:p w:rsidR="001E3B8E" w:rsidRDefault="001E3B8E" w:rsidP="000D0993">
            <w:pPr>
              <w:spacing w:before="240" w:after="120"/>
              <w:rPr>
                <w:rFonts w:ascii="Times New Roman" w:hAnsi="Times New Roman" w:cs="Times New Roman"/>
                <w:b/>
                <w:u w:val="single"/>
                <w:lang w:val="en-US"/>
              </w:rPr>
            </w:pPr>
            <w:r w:rsidRPr="001E3B8E">
              <w:rPr>
                <w:rFonts w:ascii="Times New Roman" w:hAnsi="Times New Roman" w:cs="Times New Roman"/>
                <w:lang w:val="en-US"/>
              </w:rPr>
              <w:t>Plekhanov Russian University of Economics</w:t>
            </w:r>
            <w:r>
              <w:rPr>
                <w:rFonts w:ascii="Times New Roman" w:hAnsi="Times New Roman" w:cs="Times New Roman"/>
                <w:lang w:val="en-US"/>
              </w:rPr>
              <w:t>, Bachelor (2009) and Specialist (2010) in World Trade and Commercial Law</w:t>
            </w:r>
          </w:p>
        </w:tc>
      </w:tr>
      <w:tr w:rsidR="001E3B8E" w:rsidTr="000D0993">
        <w:tc>
          <w:tcPr>
            <w:tcW w:w="2802" w:type="dxa"/>
            <w:tcBorders>
              <w:bottom w:val="single" w:sz="4" w:space="0" w:color="000000" w:themeColor="text1"/>
            </w:tcBorders>
            <w:vAlign w:val="center"/>
          </w:tcPr>
          <w:p w:rsidR="001E3B8E" w:rsidRPr="00F738F0" w:rsidRDefault="001E3B8E" w:rsidP="000D0993">
            <w:pPr>
              <w:spacing w:before="240" w:after="120"/>
              <w:rPr>
                <w:rFonts w:ascii="Times New Roman" w:hAnsi="Times New Roman" w:cs="Times New Roman"/>
                <w:b/>
                <w:lang w:val="en-US"/>
              </w:rPr>
            </w:pPr>
            <w:r>
              <w:rPr>
                <w:rFonts w:ascii="Times New Roman" w:hAnsi="Times New Roman" w:cs="Times New Roman"/>
                <w:b/>
                <w:lang w:val="en-US"/>
              </w:rPr>
              <w:t>IELTS exam</w:t>
            </w:r>
          </w:p>
        </w:tc>
        <w:tc>
          <w:tcPr>
            <w:tcW w:w="6769" w:type="dxa"/>
            <w:tcBorders>
              <w:bottom w:val="single" w:sz="4" w:space="0" w:color="000000" w:themeColor="text1"/>
            </w:tcBorders>
            <w:vAlign w:val="center"/>
          </w:tcPr>
          <w:p w:rsidR="001E3B8E" w:rsidRPr="001E3B8E" w:rsidRDefault="001E3B8E" w:rsidP="000D0993">
            <w:pPr>
              <w:spacing w:before="240" w:after="120"/>
              <w:rPr>
                <w:rFonts w:ascii="Times New Roman" w:hAnsi="Times New Roman" w:cs="Times New Roman"/>
                <w:lang w:val="en-US"/>
              </w:rPr>
            </w:pPr>
            <w:r>
              <w:rPr>
                <w:rFonts w:ascii="Times New Roman" w:hAnsi="Times New Roman" w:cs="Times New Roman"/>
                <w:lang w:val="en-US"/>
              </w:rPr>
              <w:t>University of Bath – 7.0 (2008)</w:t>
            </w:r>
          </w:p>
        </w:tc>
      </w:tr>
      <w:tr w:rsidR="003B5BCE" w:rsidTr="000D0993">
        <w:tc>
          <w:tcPr>
            <w:tcW w:w="9571" w:type="dxa"/>
            <w:gridSpan w:val="2"/>
            <w:tcBorders>
              <w:top w:val="single" w:sz="4" w:space="0" w:color="000000" w:themeColor="text1"/>
              <w:bottom w:val="single" w:sz="4" w:space="0" w:color="000000" w:themeColor="text1"/>
            </w:tcBorders>
            <w:vAlign w:val="center"/>
          </w:tcPr>
          <w:p w:rsidR="003B5BCE" w:rsidRPr="003B5BCE" w:rsidRDefault="003B5BCE" w:rsidP="000D0993">
            <w:pPr>
              <w:spacing w:before="240" w:after="120"/>
              <w:rPr>
                <w:rFonts w:ascii="Times New Roman" w:hAnsi="Times New Roman" w:cs="Times New Roman"/>
                <w:u w:val="single"/>
                <w:lang w:val="en-US"/>
              </w:rPr>
            </w:pPr>
            <w:r w:rsidRPr="003B5BCE">
              <w:rPr>
                <w:rFonts w:ascii="Times New Roman" w:hAnsi="Times New Roman" w:cs="Times New Roman"/>
                <w:b/>
                <w:u w:val="single"/>
                <w:lang w:val="en-US"/>
              </w:rPr>
              <w:t>Work experience</w:t>
            </w:r>
            <w:r>
              <w:rPr>
                <w:rFonts w:ascii="Times New Roman" w:hAnsi="Times New Roman" w:cs="Times New Roman"/>
                <w:b/>
                <w:u w:val="single"/>
                <w:lang w:val="en-US"/>
              </w:rPr>
              <w:t>:</w:t>
            </w:r>
          </w:p>
        </w:tc>
      </w:tr>
      <w:tr w:rsidR="003B5BCE" w:rsidRPr="008B6FB3" w:rsidTr="000D0993">
        <w:tc>
          <w:tcPr>
            <w:tcW w:w="2802" w:type="dxa"/>
            <w:tcBorders>
              <w:top w:val="single" w:sz="4" w:space="0" w:color="000000" w:themeColor="text1"/>
              <w:bottom w:val="single" w:sz="4" w:space="0" w:color="000000" w:themeColor="text1"/>
            </w:tcBorders>
            <w:vAlign w:val="center"/>
          </w:tcPr>
          <w:p w:rsidR="003B5BCE" w:rsidRDefault="003B5BCE" w:rsidP="000D0993">
            <w:pPr>
              <w:spacing w:before="240" w:after="120"/>
              <w:rPr>
                <w:rFonts w:ascii="Times New Roman" w:hAnsi="Times New Roman" w:cs="Times New Roman"/>
                <w:b/>
                <w:lang w:val="en-US"/>
              </w:rPr>
            </w:pPr>
            <w:r>
              <w:rPr>
                <w:rFonts w:ascii="Times New Roman" w:hAnsi="Times New Roman" w:cs="Times New Roman"/>
                <w:b/>
                <w:lang w:val="en-US"/>
              </w:rPr>
              <w:t>June 2014 – current time</w:t>
            </w:r>
          </w:p>
        </w:tc>
        <w:tc>
          <w:tcPr>
            <w:tcW w:w="6769" w:type="dxa"/>
            <w:tcBorders>
              <w:top w:val="single" w:sz="4" w:space="0" w:color="000000" w:themeColor="text1"/>
              <w:bottom w:val="single" w:sz="4" w:space="0" w:color="000000" w:themeColor="text1"/>
            </w:tcBorders>
            <w:vAlign w:val="center"/>
          </w:tcPr>
          <w:p w:rsidR="003B5BCE" w:rsidRDefault="003B5BCE" w:rsidP="000D0993">
            <w:pPr>
              <w:spacing w:before="240" w:after="120"/>
              <w:rPr>
                <w:rFonts w:ascii="Times New Roman" w:hAnsi="Times New Roman" w:cs="Times New Roman"/>
                <w:lang w:val="en-US"/>
              </w:rPr>
            </w:pPr>
            <w:r>
              <w:rPr>
                <w:rFonts w:ascii="Times New Roman" w:hAnsi="Times New Roman" w:cs="Times New Roman"/>
                <w:lang w:val="en-US"/>
              </w:rPr>
              <w:t>ALFA-BANK, Structured Products, Vice-President</w:t>
            </w:r>
          </w:p>
        </w:tc>
      </w:tr>
      <w:tr w:rsidR="003B5BCE" w:rsidRPr="008B6FB3" w:rsidTr="000D0993">
        <w:tc>
          <w:tcPr>
            <w:tcW w:w="2802" w:type="dxa"/>
            <w:tcBorders>
              <w:top w:val="single" w:sz="4" w:space="0" w:color="000000" w:themeColor="text1"/>
              <w:bottom w:val="single" w:sz="4" w:space="0" w:color="000000" w:themeColor="text1"/>
            </w:tcBorders>
            <w:vAlign w:val="center"/>
          </w:tcPr>
          <w:p w:rsidR="003B5BCE" w:rsidRPr="003B5BCE" w:rsidRDefault="003B5BCE" w:rsidP="00DD2711">
            <w:pPr>
              <w:spacing w:before="240" w:after="120"/>
              <w:jc w:val="both"/>
              <w:rPr>
                <w:rFonts w:ascii="Times New Roman" w:hAnsi="Times New Roman" w:cs="Times New Roman"/>
                <w:i/>
                <w:lang w:val="en-US"/>
              </w:rPr>
            </w:pPr>
            <w:r w:rsidRPr="003B5BCE">
              <w:rPr>
                <w:rFonts w:ascii="Times New Roman" w:hAnsi="Times New Roman" w:cs="Times New Roman"/>
                <w:i/>
                <w:lang w:val="en-US"/>
              </w:rPr>
              <w:t>Responsibilities</w:t>
            </w:r>
          </w:p>
        </w:tc>
        <w:tc>
          <w:tcPr>
            <w:tcW w:w="6769" w:type="dxa"/>
            <w:tcBorders>
              <w:top w:val="single" w:sz="4" w:space="0" w:color="000000" w:themeColor="text1"/>
              <w:bottom w:val="single" w:sz="4" w:space="0" w:color="000000" w:themeColor="text1"/>
            </w:tcBorders>
            <w:vAlign w:val="center"/>
          </w:tcPr>
          <w:p w:rsidR="008B6FB3" w:rsidRDefault="00CF3650" w:rsidP="008B6FB3">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o</w:t>
            </w:r>
            <w:r w:rsidR="008B6FB3">
              <w:rPr>
                <w:rFonts w:ascii="Times New Roman" w:hAnsi="Times New Roman" w:cs="Times New Roman"/>
                <w:lang w:val="en-US"/>
              </w:rPr>
              <w:t>rigination of new clients</w:t>
            </w:r>
            <w:r w:rsidR="008B6FB3" w:rsidRPr="008B6FB3">
              <w:rPr>
                <w:rFonts w:ascii="Times New Roman" w:hAnsi="Times New Roman" w:cs="Times New Roman"/>
                <w:lang w:val="en-US"/>
              </w:rPr>
              <w:t xml:space="preserve"> </w:t>
            </w:r>
            <w:r w:rsidR="008B6FB3">
              <w:rPr>
                <w:rFonts w:ascii="Times New Roman" w:hAnsi="Times New Roman" w:cs="Times New Roman"/>
                <w:lang w:val="en-US"/>
              </w:rPr>
              <w:t xml:space="preserve">and transactions through personal </w:t>
            </w:r>
            <w:r w:rsidR="002F67DE">
              <w:rPr>
                <w:rFonts w:ascii="Times New Roman" w:hAnsi="Times New Roman" w:cs="Times New Roman"/>
                <w:lang w:val="en-US"/>
              </w:rPr>
              <w:t>network</w:t>
            </w:r>
            <w:r w:rsidR="008B6FB3">
              <w:rPr>
                <w:rFonts w:ascii="Times New Roman" w:hAnsi="Times New Roman" w:cs="Times New Roman"/>
                <w:lang w:val="en-US"/>
              </w:rPr>
              <w:t xml:space="preserve">, </w:t>
            </w:r>
            <w:r w:rsidR="00227BBD">
              <w:rPr>
                <w:rFonts w:ascii="Times New Roman" w:hAnsi="Times New Roman" w:cs="Times New Roman"/>
                <w:lang w:val="en-US"/>
              </w:rPr>
              <w:t xml:space="preserve">Bank’s </w:t>
            </w:r>
            <w:r w:rsidR="008B6FB3">
              <w:rPr>
                <w:rFonts w:ascii="Times New Roman" w:hAnsi="Times New Roman" w:cs="Times New Roman"/>
                <w:lang w:val="en-US"/>
              </w:rPr>
              <w:t>client relation</w:t>
            </w:r>
            <w:r w:rsidR="002F67DE">
              <w:rPr>
                <w:rFonts w:ascii="Times New Roman" w:hAnsi="Times New Roman" w:cs="Times New Roman"/>
                <w:lang w:val="en-US"/>
              </w:rPr>
              <w:t>ship</w:t>
            </w:r>
            <w:r w:rsidR="008B6FB3">
              <w:rPr>
                <w:rFonts w:ascii="Times New Roman" w:hAnsi="Times New Roman" w:cs="Times New Roman"/>
                <w:lang w:val="en-US"/>
              </w:rPr>
              <w:t xml:space="preserve"> managers and international bank teams;</w:t>
            </w:r>
          </w:p>
          <w:p w:rsidR="003B5BCE" w:rsidRDefault="003B5BCE" w:rsidP="00DD2711">
            <w:pPr>
              <w:pStyle w:val="a7"/>
              <w:numPr>
                <w:ilvl w:val="0"/>
                <w:numId w:val="1"/>
              </w:numPr>
              <w:spacing w:before="240" w:after="120"/>
              <w:ind w:left="318"/>
              <w:jc w:val="both"/>
              <w:rPr>
                <w:rFonts w:ascii="Times New Roman" w:hAnsi="Times New Roman" w:cs="Times New Roman"/>
                <w:lang w:val="en-US"/>
              </w:rPr>
            </w:pPr>
            <w:r w:rsidRPr="003B5BCE">
              <w:rPr>
                <w:rFonts w:ascii="Times New Roman" w:hAnsi="Times New Roman" w:cs="Times New Roman"/>
                <w:lang w:val="en-US"/>
              </w:rPr>
              <w:t>structuring</w:t>
            </w:r>
            <w:r w:rsidR="00D400E5">
              <w:rPr>
                <w:rFonts w:ascii="Times New Roman" w:hAnsi="Times New Roman" w:cs="Times New Roman"/>
                <w:lang w:val="en-US"/>
              </w:rPr>
              <w:t>: fi</w:t>
            </w:r>
            <w:r w:rsidR="00F30D4A">
              <w:rPr>
                <w:rFonts w:ascii="Times New Roman" w:hAnsi="Times New Roman" w:cs="Times New Roman"/>
                <w:lang w:val="en-US"/>
              </w:rPr>
              <w:t>nancing</w:t>
            </w:r>
            <w:r w:rsidR="00227BBD">
              <w:rPr>
                <w:rFonts w:ascii="Times New Roman" w:hAnsi="Times New Roman" w:cs="Times New Roman"/>
                <w:lang w:val="en-US"/>
              </w:rPr>
              <w:t xml:space="preserve"> deals such as</w:t>
            </w:r>
            <w:r w:rsidR="00F30D4A">
              <w:rPr>
                <w:rFonts w:ascii="Times New Roman" w:hAnsi="Times New Roman" w:cs="Times New Roman"/>
                <w:lang w:val="en-US"/>
              </w:rPr>
              <w:t xml:space="preserve"> </w:t>
            </w:r>
            <w:r w:rsidR="001A7400">
              <w:rPr>
                <w:rFonts w:ascii="Times New Roman" w:hAnsi="Times New Roman" w:cs="Times New Roman"/>
                <w:lang w:val="en-US"/>
              </w:rPr>
              <w:t>mezzanine and shareholder financing</w:t>
            </w:r>
            <w:r w:rsidR="00227BBD">
              <w:rPr>
                <w:rFonts w:ascii="Times New Roman" w:hAnsi="Times New Roman" w:cs="Times New Roman"/>
                <w:lang w:val="en-US"/>
              </w:rPr>
              <w:t>,</w:t>
            </w:r>
            <w:r w:rsidR="00DF2B7C">
              <w:rPr>
                <w:rFonts w:ascii="Times New Roman" w:hAnsi="Times New Roman" w:cs="Times New Roman"/>
                <w:lang w:val="en-US"/>
              </w:rPr>
              <w:t xml:space="preserve"> LBO, MBO</w:t>
            </w:r>
            <w:r w:rsidR="002F67DE">
              <w:rPr>
                <w:rFonts w:ascii="Times New Roman" w:hAnsi="Times New Roman" w:cs="Times New Roman"/>
                <w:lang w:val="en-US"/>
              </w:rPr>
              <w:t xml:space="preserve"> and with</w:t>
            </w:r>
            <w:r w:rsidR="001A7400">
              <w:rPr>
                <w:rFonts w:ascii="Times New Roman" w:hAnsi="Times New Roman" w:cs="Times New Roman"/>
                <w:lang w:val="en-US"/>
              </w:rPr>
              <w:t xml:space="preserve"> </w:t>
            </w:r>
            <w:r w:rsidR="00E1448D">
              <w:rPr>
                <w:rFonts w:ascii="Times New Roman" w:hAnsi="Times New Roman" w:cs="Times New Roman"/>
                <w:lang w:val="en-US"/>
              </w:rPr>
              <w:t>non-typical</w:t>
            </w:r>
            <w:r w:rsidR="00F30D4A">
              <w:rPr>
                <w:rFonts w:ascii="Times New Roman" w:hAnsi="Times New Roman" w:cs="Times New Roman"/>
                <w:lang w:val="en-US"/>
              </w:rPr>
              <w:t xml:space="preserve"> types of re</w:t>
            </w:r>
            <w:r w:rsidR="00A038B9">
              <w:rPr>
                <w:rFonts w:ascii="Times New Roman" w:hAnsi="Times New Roman" w:cs="Times New Roman"/>
                <w:lang w:val="en-US"/>
              </w:rPr>
              <w:t>course</w:t>
            </w:r>
            <w:r w:rsidR="00227BBD">
              <w:rPr>
                <w:rFonts w:ascii="Times New Roman" w:hAnsi="Times New Roman" w:cs="Times New Roman"/>
                <w:lang w:val="en-US"/>
              </w:rPr>
              <w:t>,</w:t>
            </w:r>
            <w:r w:rsidR="00D400E5">
              <w:rPr>
                <w:rFonts w:ascii="Times New Roman" w:hAnsi="Times New Roman" w:cs="Times New Roman"/>
                <w:lang w:val="en-US"/>
              </w:rPr>
              <w:t xml:space="preserve"> restructuring</w:t>
            </w:r>
            <w:r w:rsidR="00F30D4A">
              <w:rPr>
                <w:rFonts w:ascii="Times New Roman" w:hAnsi="Times New Roman" w:cs="Times New Roman"/>
                <w:lang w:val="en-US"/>
              </w:rPr>
              <w:t xml:space="preserve"> of existing liabilities</w:t>
            </w:r>
            <w:r w:rsidR="00227BBD">
              <w:rPr>
                <w:rFonts w:ascii="Times New Roman" w:hAnsi="Times New Roman" w:cs="Times New Roman"/>
                <w:lang w:val="en-US"/>
              </w:rPr>
              <w:t>,</w:t>
            </w:r>
            <w:r w:rsidR="00F30D4A">
              <w:rPr>
                <w:rFonts w:ascii="Times New Roman" w:hAnsi="Times New Roman" w:cs="Times New Roman"/>
                <w:lang w:val="en-US"/>
              </w:rPr>
              <w:t xml:space="preserve"> purchase</w:t>
            </w:r>
            <w:r w:rsidR="00063DAC">
              <w:rPr>
                <w:rFonts w:ascii="Times New Roman" w:hAnsi="Times New Roman" w:cs="Times New Roman"/>
                <w:lang w:val="en-US"/>
              </w:rPr>
              <w:t>/sale</w:t>
            </w:r>
            <w:r w:rsidR="00F30D4A">
              <w:rPr>
                <w:rFonts w:ascii="Times New Roman" w:hAnsi="Times New Roman" w:cs="Times New Roman"/>
                <w:lang w:val="en-US"/>
              </w:rPr>
              <w:t xml:space="preserve"> of credit risk</w:t>
            </w:r>
            <w:r w:rsidR="00063DAC">
              <w:rPr>
                <w:rFonts w:ascii="Times New Roman" w:hAnsi="Times New Roman" w:cs="Times New Roman"/>
                <w:lang w:val="en-US"/>
              </w:rPr>
              <w:t>s</w:t>
            </w:r>
            <w:r w:rsidR="00F30D4A">
              <w:rPr>
                <w:rFonts w:ascii="Times New Roman" w:hAnsi="Times New Roman" w:cs="Times New Roman"/>
                <w:lang w:val="en-US"/>
              </w:rPr>
              <w:t xml:space="preserve"> via simple assignment</w:t>
            </w:r>
            <w:r w:rsidR="00063DAC">
              <w:rPr>
                <w:rFonts w:ascii="Times New Roman" w:hAnsi="Times New Roman" w:cs="Times New Roman"/>
                <w:lang w:val="en-US"/>
              </w:rPr>
              <w:t xml:space="preserve">, </w:t>
            </w:r>
            <w:r w:rsidR="00F30D4A">
              <w:rPr>
                <w:rFonts w:ascii="Times New Roman" w:hAnsi="Times New Roman" w:cs="Times New Roman"/>
                <w:lang w:val="en-US"/>
              </w:rPr>
              <w:t>novation or</w:t>
            </w:r>
            <w:r w:rsidR="001A7400">
              <w:rPr>
                <w:rFonts w:ascii="Times New Roman" w:hAnsi="Times New Roman" w:cs="Times New Roman"/>
                <w:lang w:val="en-US"/>
              </w:rPr>
              <w:t xml:space="preserve"> by using</w:t>
            </w:r>
            <w:r w:rsidR="00063DAC">
              <w:rPr>
                <w:rFonts w:ascii="Times New Roman" w:hAnsi="Times New Roman" w:cs="Times New Roman"/>
                <w:lang w:val="en-US"/>
              </w:rPr>
              <w:t xml:space="preserve"> derivative contract (possibly</w:t>
            </w:r>
            <w:r w:rsidR="00F30D4A">
              <w:rPr>
                <w:rFonts w:ascii="Times New Roman" w:hAnsi="Times New Roman" w:cs="Times New Roman"/>
                <w:lang w:val="en-US"/>
              </w:rPr>
              <w:t xml:space="preserve"> with partial external</w:t>
            </w:r>
            <w:r w:rsidR="001A7400">
              <w:rPr>
                <w:rFonts w:ascii="Times New Roman" w:hAnsi="Times New Roman" w:cs="Times New Roman"/>
                <w:lang w:val="en-US"/>
              </w:rPr>
              <w:t xml:space="preserve"> </w:t>
            </w:r>
            <w:r w:rsidR="00F30D4A">
              <w:rPr>
                <w:rFonts w:ascii="Times New Roman" w:hAnsi="Times New Roman" w:cs="Times New Roman"/>
                <w:lang w:val="en-US"/>
              </w:rPr>
              <w:t>financing</w:t>
            </w:r>
            <w:r w:rsidR="00063DAC">
              <w:rPr>
                <w:rFonts w:ascii="Times New Roman" w:hAnsi="Times New Roman" w:cs="Times New Roman"/>
                <w:lang w:val="en-US"/>
              </w:rPr>
              <w:t>)</w:t>
            </w:r>
            <w:r w:rsidR="00227BBD">
              <w:rPr>
                <w:rFonts w:ascii="Times New Roman" w:hAnsi="Times New Roman" w:cs="Times New Roman"/>
                <w:lang w:val="en-US"/>
              </w:rPr>
              <w:t>, private equity, M&amp;A advising and loans with embedded derivatives</w:t>
            </w:r>
            <w:r w:rsidR="00DF2B7C">
              <w:rPr>
                <w:rFonts w:ascii="Times New Roman" w:hAnsi="Times New Roman" w:cs="Times New Roman"/>
                <w:lang w:val="en-US"/>
              </w:rPr>
              <w:t>;</w:t>
            </w:r>
          </w:p>
          <w:p w:rsidR="00F30D4A" w:rsidRDefault="004B5474"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 xml:space="preserve">approval: </w:t>
            </w:r>
            <w:r w:rsidR="00227BBD">
              <w:rPr>
                <w:rFonts w:ascii="Times New Roman" w:hAnsi="Times New Roman" w:cs="Times New Roman"/>
                <w:lang w:val="en-US"/>
              </w:rPr>
              <w:t>presentation of transactions on</w:t>
            </w:r>
            <w:r>
              <w:rPr>
                <w:rFonts w:ascii="Times New Roman" w:hAnsi="Times New Roman" w:cs="Times New Roman"/>
                <w:lang w:val="en-US"/>
              </w:rPr>
              <w:t xml:space="preserve"> Credit, Board and ALCO committees</w:t>
            </w:r>
            <w:r w:rsidR="00DF2B7C">
              <w:rPr>
                <w:rFonts w:ascii="Times New Roman" w:hAnsi="Times New Roman" w:cs="Times New Roman"/>
                <w:lang w:val="en-US"/>
              </w:rPr>
              <w:t>;</w:t>
            </w:r>
          </w:p>
          <w:p w:rsidR="006548B4" w:rsidRDefault="006548B4"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 xml:space="preserve">closing: </w:t>
            </w:r>
            <w:r w:rsidR="00DF2B7C">
              <w:rPr>
                <w:rFonts w:ascii="Times New Roman" w:hAnsi="Times New Roman" w:cs="Times New Roman"/>
                <w:lang w:val="en-US"/>
              </w:rPr>
              <w:t xml:space="preserve">team leadership which is </w:t>
            </w:r>
            <w:r w:rsidR="00A65875">
              <w:rPr>
                <w:rFonts w:ascii="Times New Roman" w:hAnsi="Times New Roman" w:cs="Times New Roman"/>
                <w:lang w:val="en-US"/>
              </w:rPr>
              <w:t xml:space="preserve">formed from </w:t>
            </w:r>
            <w:r>
              <w:rPr>
                <w:rFonts w:ascii="Times New Roman" w:hAnsi="Times New Roman" w:cs="Times New Roman"/>
                <w:lang w:val="en-US"/>
              </w:rPr>
              <w:t>various departments</w:t>
            </w:r>
            <w:r w:rsidR="00901361">
              <w:rPr>
                <w:rFonts w:ascii="Times New Roman" w:hAnsi="Times New Roman" w:cs="Times New Roman"/>
                <w:lang w:val="en-US"/>
              </w:rPr>
              <w:t>,</w:t>
            </w:r>
            <w:r w:rsidR="00A65875">
              <w:rPr>
                <w:rFonts w:ascii="Times New Roman" w:hAnsi="Times New Roman" w:cs="Times New Roman"/>
                <w:lang w:val="en-US"/>
              </w:rPr>
              <w:t xml:space="preserve"> </w:t>
            </w:r>
            <w:r>
              <w:rPr>
                <w:rFonts w:ascii="Times New Roman" w:hAnsi="Times New Roman" w:cs="Times New Roman"/>
                <w:lang w:val="en-US"/>
              </w:rPr>
              <w:t>negotiations with clients, legal, tax, au</w:t>
            </w:r>
            <w:r w:rsidR="00DF2B7C">
              <w:rPr>
                <w:rFonts w:ascii="Times New Roman" w:hAnsi="Times New Roman" w:cs="Times New Roman"/>
                <w:lang w:val="en-US"/>
              </w:rPr>
              <w:t>ditors;</w:t>
            </w:r>
          </w:p>
          <w:p w:rsidR="006548B4" w:rsidRPr="003B5BCE" w:rsidRDefault="006548B4"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report</w:t>
            </w:r>
            <w:r w:rsidR="00DF2B7C">
              <w:rPr>
                <w:rFonts w:ascii="Times New Roman" w:hAnsi="Times New Roman" w:cs="Times New Roman"/>
                <w:lang w:val="en-US"/>
              </w:rPr>
              <w:t>ing to top-management</w:t>
            </w:r>
          </w:p>
        </w:tc>
      </w:tr>
      <w:tr w:rsidR="00DD2711" w:rsidRPr="008B6FB3" w:rsidTr="000D0993">
        <w:tc>
          <w:tcPr>
            <w:tcW w:w="2802" w:type="dxa"/>
            <w:tcBorders>
              <w:top w:val="single" w:sz="4" w:space="0" w:color="000000" w:themeColor="text1"/>
              <w:bottom w:val="single" w:sz="4" w:space="0" w:color="000000" w:themeColor="text1"/>
            </w:tcBorders>
            <w:vAlign w:val="center"/>
          </w:tcPr>
          <w:p w:rsidR="00DD2711" w:rsidRPr="003B5BCE" w:rsidRDefault="00DD2711" w:rsidP="00261CA0">
            <w:pPr>
              <w:spacing w:before="240" w:after="120"/>
              <w:jc w:val="both"/>
              <w:rPr>
                <w:rFonts w:ascii="Times New Roman" w:hAnsi="Times New Roman" w:cs="Times New Roman"/>
                <w:i/>
                <w:lang w:val="en-US"/>
              </w:rPr>
            </w:pPr>
            <w:r>
              <w:rPr>
                <w:rFonts w:ascii="Times New Roman" w:hAnsi="Times New Roman" w:cs="Times New Roman"/>
                <w:i/>
                <w:lang w:val="en-US"/>
              </w:rPr>
              <w:t>Main deals closed in 2014-201</w:t>
            </w:r>
            <w:r w:rsidR="00DF2B7C">
              <w:rPr>
                <w:rFonts w:ascii="Times New Roman" w:hAnsi="Times New Roman" w:cs="Times New Roman"/>
                <w:i/>
                <w:lang w:val="en-US"/>
              </w:rPr>
              <w:t>8</w:t>
            </w:r>
          </w:p>
        </w:tc>
        <w:tc>
          <w:tcPr>
            <w:tcW w:w="6769" w:type="dxa"/>
            <w:tcBorders>
              <w:top w:val="single" w:sz="4" w:space="0" w:color="000000" w:themeColor="text1"/>
              <w:bottom w:val="single" w:sz="4" w:space="0" w:color="000000" w:themeColor="text1"/>
            </w:tcBorders>
            <w:vAlign w:val="center"/>
          </w:tcPr>
          <w:p w:rsidR="00A038B9" w:rsidRDefault="00174120"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w:t>
            </w:r>
            <w:r w:rsidR="00A038B9">
              <w:rPr>
                <w:rFonts w:ascii="Times New Roman" w:hAnsi="Times New Roman" w:cs="Times New Roman"/>
                <w:lang w:val="en-US"/>
              </w:rPr>
              <w:t>140</w:t>
            </w:r>
            <w:r w:rsidR="00CF3650">
              <w:rPr>
                <w:rFonts w:ascii="Times New Roman" w:hAnsi="Times New Roman" w:cs="Times New Roman"/>
                <w:lang w:val="en-US"/>
              </w:rPr>
              <w:t xml:space="preserve"> </w:t>
            </w:r>
            <w:proofErr w:type="spellStart"/>
            <w:r w:rsidR="00CF3650">
              <w:rPr>
                <w:rFonts w:ascii="Times New Roman" w:hAnsi="Times New Roman" w:cs="Times New Roman"/>
                <w:lang w:val="en-US"/>
              </w:rPr>
              <w:t>mln</w:t>
            </w:r>
            <w:proofErr w:type="spellEnd"/>
            <w:r w:rsidR="00CF3650">
              <w:rPr>
                <w:rFonts w:ascii="Times New Roman" w:hAnsi="Times New Roman" w:cs="Times New Roman"/>
                <w:lang w:val="en-US"/>
              </w:rPr>
              <w:t xml:space="preserve"> LBO transaction for purchase of the mining asset;</w:t>
            </w:r>
          </w:p>
          <w:p w:rsidR="00A038B9" w:rsidRDefault="00174120"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w:t>
            </w:r>
            <w:r w:rsidR="00A038B9">
              <w:rPr>
                <w:rFonts w:ascii="Times New Roman" w:hAnsi="Times New Roman" w:cs="Times New Roman"/>
                <w:lang w:val="en-US"/>
              </w:rPr>
              <w:t>150</w:t>
            </w:r>
            <w:r w:rsidR="00CF3650">
              <w:rPr>
                <w:rFonts w:ascii="Times New Roman" w:hAnsi="Times New Roman" w:cs="Times New Roman"/>
                <w:lang w:val="en-US"/>
              </w:rPr>
              <w:t xml:space="preserve"> </w:t>
            </w:r>
            <w:proofErr w:type="spellStart"/>
            <w:r w:rsidR="00CF3650">
              <w:rPr>
                <w:rFonts w:ascii="Times New Roman" w:hAnsi="Times New Roman" w:cs="Times New Roman"/>
                <w:lang w:val="en-US"/>
              </w:rPr>
              <w:t>mln</w:t>
            </w:r>
            <w:proofErr w:type="spellEnd"/>
            <w:r w:rsidR="00CF3650">
              <w:rPr>
                <w:rFonts w:ascii="Times New Roman" w:hAnsi="Times New Roman" w:cs="Times New Roman"/>
                <w:lang w:val="en-US"/>
              </w:rPr>
              <w:t xml:space="preserve"> shareholder financing secured </w:t>
            </w:r>
            <w:r w:rsidR="00901361">
              <w:rPr>
                <w:rFonts w:ascii="Times New Roman" w:hAnsi="Times New Roman" w:cs="Times New Roman"/>
                <w:lang w:val="en-US"/>
              </w:rPr>
              <w:t>with</w:t>
            </w:r>
            <w:r w:rsidR="00CF3650">
              <w:rPr>
                <w:rFonts w:ascii="Times New Roman" w:hAnsi="Times New Roman" w:cs="Times New Roman"/>
                <w:lang w:val="en-US"/>
              </w:rPr>
              <w:t xml:space="preserve"> several illiquid assets;</w:t>
            </w:r>
          </w:p>
          <w:p w:rsidR="00A038B9" w:rsidRDefault="00174120"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w:t>
            </w:r>
            <w:r w:rsidR="00A038B9">
              <w:rPr>
                <w:rFonts w:ascii="Times New Roman" w:hAnsi="Times New Roman" w:cs="Times New Roman"/>
                <w:lang w:val="en-US"/>
              </w:rPr>
              <w:t>20</w:t>
            </w:r>
            <w:r w:rsidR="00B561DA">
              <w:rPr>
                <w:rFonts w:ascii="Times New Roman" w:hAnsi="Times New Roman" w:cs="Times New Roman"/>
                <w:lang w:val="en-US"/>
              </w:rPr>
              <w:t xml:space="preserve"> </w:t>
            </w:r>
            <w:proofErr w:type="spellStart"/>
            <w:r w:rsidR="00B561DA">
              <w:rPr>
                <w:rFonts w:ascii="Times New Roman" w:hAnsi="Times New Roman" w:cs="Times New Roman"/>
                <w:lang w:val="en-US"/>
              </w:rPr>
              <w:t>mln</w:t>
            </w:r>
            <w:proofErr w:type="spellEnd"/>
            <w:r w:rsidR="00B561DA">
              <w:rPr>
                <w:rFonts w:ascii="Times New Roman" w:hAnsi="Times New Roman" w:cs="Times New Roman"/>
                <w:lang w:val="en-US"/>
              </w:rPr>
              <w:t xml:space="preserve"> shareholder financing with </w:t>
            </w:r>
            <w:r w:rsidR="00CF3650">
              <w:rPr>
                <w:rFonts w:ascii="Times New Roman" w:hAnsi="Times New Roman" w:cs="Times New Roman"/>
                <w:lang w:val="en-US"/>
              </w:rPr>
              <w:t xml:space="preserve">additional level of </w:t>
            </w:r>
            <w:r w:rsidR="00B561DA">
              <w:rPr>
                <w:rFonts w:ascii="Times New Roman" w:hAnsi="Times New Roman" w:cs="Times New Roman"/>
                <w:lang w:val="en-US"/>
              </w:rPr>
              <w:t xml:space="preserve">recourse to </w:t>
            </w:r>
            <w:r w:rsidR="00CF3650">
              <w:rPr>
                <w:rFonts w:ascii="Times New Roman" w:hAnsi="Times New Roman" w:cs="Times New Roman"/>
                <w:lang w:val="en-US"/>
              </w:rPr>
              <w:t>another HNWI;</w:t>
            </w:r>
          </w:p>
          <w:p w:rsidR="00A038B9" w:rsidRDefault="00174120"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w:t>
            </w:r>
            <w:r w:rsidR="00A038B9">
              <w:rPr>
                <w:rFonts w:ascii="Times New Roman" w:hAnsi="Times New Roman" w:cs="Times New Roman"/>
                <w:lang w:val="en-US"/>
              </w:rPr>
              <w:t>50</w:t>
            </w:r>
            <w:r>
              <w:rPr>
                <w:rFonts w:ascii="Times New Roman" w:hAnsi="Times New Roman" w:cs="Times New Roman"/>
                <w:lang w:val="en-US"/>
              </w:rPr>
              <w:t xml:space="preserve"> </w:t>
            </w:r>
            <w:proofErr w:type="spellStart"/>
            <w:r>
              <w:rPr>
                <w:rFonts w:ascii="Times New Roman" w:hAnsi="Times New Roman" w:cs="Times New Roman"/>
                <w:lang w:val="en-US"/>
              </w:rPr>
              <w:t>mln</w:t>
            </w:r>
            <w:proofErr w:type="spellEnd"/>
            <w:r>
              <w:rPr>
                <w:rFonts w:ascii="Times New Roman" w:hAnsi="Times New Roman" w:cs="Times New Roman"/>
                <w:lang w:val="en-US"/>
              </w:rPr>
              <w:t xml:space="preserve"> purchased CLNs</w:t>
            </w:r>
            <w:r w:rsidR="00B561DA" w:rsidRPr="00B561DA">
              <w:rPr>
                <w:rFonts w:ascii="Times New Roman" w:hAnsi="Times New Roman" w:cs="Times New Roman"/>
                <w:lang w:val="en-US"/>
              </w:rPr>
              <w:t xml:space="preserve"> </w:t>
            </w:r>
            <w:r w:rsidR="00B561DA">
              <w:rPr>
                <w:rFonts w:ascii="Times New Roman" w:hAnsi="Times New Roman" w:cs="Times New Roman"/>
                <w:lang w:val="en-US"/>
              </w:rPr>
              <w:t>linked to Russian corporate risk</w:t>
            </w:r>
            <w:r w:rsidR="00CF3650">
              <w:rPr>
                <w:rFonts w:ascii="Times New Roman" w:hAnsi="Times New Roman" w:cs="Times New Roman"/>
                <w:lang w:val="en-US"/>
              </w:rPr>
              <w:t>;</w:t>
            </w:r>
          </w:p>
          <w:p w:rsidR="00A038B9" w:rsidRDefault="00174120"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w:t>
            </w:r>
            <w:r w:rsidR="00A038B9">
              <w:rPr>
                <w:rFonts w:ascii="Times New Roman" w:hAnsi="Times New Roman" w:cs="Times New Roman"/>
                <w:lang w:val="en-US"/>
              </w:rPr>
              <w:t>3</w:t>
            </w:r>
            <w:r>
              <w:rPr>
                <w:rFonts w:ascii="Times New Roman" w:hAnsi="Times New Roman" w:cs="Times New Roman"/>
                <w:lang w:val="en-US"/>
              </w:rPr>
              <w:t xml:space="preserve"> </w:t>
            </w:r>
            <w:proofErr w:type="spellStart"/>
            <w:r>
              <w:rPr>
                <w:rFonts w:ascii="Times New Roman" w:hAnsi="Times New Roman" w:cs="Times New Roman"/>
                <w:lang w:val="en-US"/>
              </w:rPr>
              <w:t>mln</w:t>
            </w:r>
            <w:proofErr w:type="spellEnd"/>
            <w:r>
              <w:rPr>
                <w:rFonts w:ascii="Times New Roman" w:hAnsi="Times New Roman" w:cs="Times New Roman"/>
                <w:lang w:val="en-US"/>
              </w:rPr>
              <w:t xml:space="preserve"> invested </w:t>
            </w:r>
            <w:r w:rsidR="00901361">
              <w:rPr>
                <w:rFonts w:ascii="Times New Roman" w:hAnsi="Times New Roman" w:cs="Times New Roman"/>
                <w:lang w:val="en-US"/>
              </w:rPr>
              <w:t>as</w:t>
            </w:r>
            <w:r>
              <w:rPr>
                <w:rFonts w:ascii="Times New Roman" w:hAnsi="Times New Roman" w:cs="Times New Roman"/>
                <w:lang w:val="en-US"/>
              </w:rPr>
              <w:t xml:space="preserve"> a private equity </w:t>
            </w:r>
            <w:r w:rsidR="00901361">
              <w:rPr>
                <w:rFonts w:ascii="Times New Roman" w:hAnsi="Times New Roman" w:cs="Times New Roman"/>
                <w:lang w:val="en-US"/>
              </w:rPr>
              <w:t>investment</w:t>
            </w:r>
            <w:r w:rsidR="00CF3650">
              <w:rPr>
                <w:rFonts w:ascii="Times New Roman" w:hAnsi="Times New Roman" w:cs="Times New Roman"/>
                <w:lang w:val="en-US"/>
              </w:rPr>
              <w:t>;</w:t>
            </w:r>
          </w:p>
          <w:p w:rsidR="00A038B9" w:rsidRDefault="00174120"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w:t>
            </w:r>
            <w:r w:rsidR="00A038B9">
              <w:rPr>
                <w:rFonts w:ascii="Times New Roman" w:hAnsi="Times New Roman" w:cs="Times New Roman"/>
                <w:lang w:val="en-US"/>
              </w:rPr>
              <w:t>2</w:t>
            </w:r>
            <w:r>
              <w:rPr>
                <w:rFonts w:ascii="Times New Roman" w:hAnsi="Times New Roman" w:cs="Times New Roman"/>
                <w:lang w:val="en-US"/>
              </w:rPr>
              <w:t xml:space="preserve"> </w:t>
            </w:r>
            <w:proofErr w:type="spellStart"/>
            <w:r>
              <w:rPr>
                <w:rFonts w:ascii="Times New Roman" w:hAnsi="Times New Roman" w:cs="Times New Roman"/>
                <w:lang w:val="en-US"/>
              </w:rPr>
              <w:t>mln</w:t>
            </w:r>
            <w:proofErr w:type="spellEnd"/>
            <w:r>
              <w:rPr>
                <w:rFonts w:ascii="Times New Roman" w:hAnsi="Times New Roman" w:cs="Times New Roman"/>
                <w:lang w:val="en-US"/>
              </w:rPr>
              <w:t xml:space="preserve"> advisory fee for M&amp;A transaction</w:t>
            </w:r>
            <w:r w:rsidR="00CF3650">
              <w:rPr>
                <w:rFonts w:ascii="Times New Roman" w:hAnsi="Times New Roman" w:cs="Times New Roman"/>
                <w:lang w:val="en-US"/>
              </w:rPr>
              <w:t>;</w:t>
            </w:r>
          </w:p>
          <w:p w:rsidR="00DD2711" w:rsidRPr="00DD2711" w:rsidRDefault="00A038B9" w:rsidP="00DD2711">
            <w:pPr>
              <w:pStyle w:val="a7"/>
              <w:numPr>
                <w:ilvl w:val="0"/>
                <w:numId w:val="1"/>
              </w:numPr>
              <w:spacing w:before="240" w:after="120"/>
              <w:ind w:left="318"/>
              <w:jc w:val="both"/>
              <w:rPr>
                <w:rFonts w:ascii="Times New Roman" w:hAnsi="Times New Roman" w:cs="Times New Roman"/>
                <w:lang w:val="en-US"/>
              </w:rPr>
            </w:pPr>
            <w:r w:rsidRPr="00DD2711">
              <w:rPr>
                <w:rFonts w:ascii="Times New Roman" w:hAnsi="Times New Roman" w:cs="Times New Roman"/>
                <w:lang w:val="en-US"/>
              </w:rPr>
              <w:t xml:space="preserve">$30 </w:t>
            </w:r>
            <w:proofErr w:type="spellStart"/>
            <w:r w:rsidRPr="00DD2711">
              <w:rPr>
                <w:rFonts w:ascii="Times New Roman" w:hAnsi="Times New Roman" w:cs="Times New Roman"/>
                <w:lang w:val="en-US"/>
              </w:rPr>
              <w:t>mln</w:t>
            </w:r>
            <w:proofErr w:type="spellEnd"/>
            <w:r w:rsidRPr="00DD2711">
              <w:rPr>
                <w:rFonts w:ascii="Times New Roman" w:hAnsi="Times New Roman" w:cs="Times New Roman"/>
                <w:lang w:val="en-US"/>
              </w:rPr>
              <w:t xml:space="preserve"> </w:t>
            </w:r>
            <w:r w:rsidR="00DD2711">
              <w:rPr>
                <w:rFonts w:ascii="Times New Roman" w:hAnsi="Times New Roman" w:cs="Times New Roman"/>
                <w:lang w:val="en-US"/>
              </w:rPr>
              <w:t>s</w:t>
            </w:r>
            <w:r w:rsidR="00DD2711" w:rsidRPr="00DD2711">
              <w:rPr>
                <w:rFonts w:ascii="Times New Roman" w:hAnsi="Times New Roman" w:cs="Times New Roman"/>
                <w:lang w:val="en-US"/>
              </w:rPr>
              <w:t xml:space="preserve">hareholder financing </w:t>
            </w:r>
            <w:r>
              <w:rPr>
                <w:rFonts w:ascii="Times New Roman" w:hAnsi="Times New Roman" w:cs="Times New Roman"/>
                <w:lang w:val="en-US"/>
              </w:rPr>
              <w:t>of MBO transaction</w:t>
            </w:r>
            <w:r w:rsidR="00DD2711">
              <w:rPr>
                <w:rFonts w:ascii="Times New Roman" w:hAnsi="Times New Roman" w:cs="Times New Roman"/>
                <w:lang w:val="en-US"/>
              </w:rPr>
              <w:t xml:space="preserve"> </w:t>
            </w:r>
            <w:r>
              <w:rPr>
                <w:rFonts w:ascii="Times New Roman" w:hAnsi="Times New Roman" w:cs="Times New Roman"/>
                <w:lang w:val="en-US"/>
              </w:rPr>
              <w:t>with recourse</w:t>
            </w:r>
            <w:r w:rsidR="00DD2711" w:rsidRPr="00DD2711">
              <w:rPr>
                <w:rFonts w:ascii="Times New Roman" w:hAnsi="Times New Roman" w:cs="Times New Roman"/>
                <w:lang w:val="en-US"/>
              </w:rPr>
              <w:t xml:space="preserve"> on the operational level via Russian law governed cash settle</w:t>
            </w:r>
            <w:r>
              <w:rPr>
                <w:rFonts w:ascii="Times New Roman" w:hAnsi="Times New Roman" w:cs="Times New Roman"/>
                <w:lang w:val="en-US"/>
              </w:rPr>
              <w:t>d</w:t>
            </w:r>
            <w:r w:rsidR="00DD2711" w:rsidRPr="00DD2711">
              <w:rPr>
                <w:rFonts w:ascii="Times New Roman" w:hAnsi="Times New Roman" w:cs="Times New Roman"/>
                <w:lang w:val="en-US"/>
              </w:rPr>
              <w:t xml:space="preserve"> put options</w:t>
            </w:r>
            <w:r w:rsidR="00CF3650">
              <w:rPr>
                <w:rFonts w:ascii="Times New Roman" w:hAnsi="Times New Roman" w:cs="Times New Roman"/>
                <w:lang w:val="en-US"/>
              </w:rPr>
              <w:t>;</w:t>
            </w:r>
          </w:p>
          <w:p w:rsidR="00DD2711" w:rsidRPr="00DD2711" w:rsidRDefault="00A038B9" w:rsidP="00DD2711">
            <w:pPr>
              <w:pStyle w:val="a7"/>
              <w:numPr>
                <w:ilvl w:val="0"/>
                <w:numId w:val="1"/>
              </w:numPr>
              <w:spacing w:before="240" w:after="120"/>
              <w:ind w:left="318"/>
              <w:jc w:val="both"/>
              <w:rPr>
                <w:rFonts w:ascii="Times New Roman" w:hAnsi="Times New Roman" w:cs="Times New Roman"/>
                <w:lang w:val="en-US"/>
              </w:rPr>
            </w:pPr>
            <w:r w:rsidRPr="00DD2711">
              <w:rPr>
                <w:rFonts w:ascii="Times New Roman" w:hAnsi="Times New Roman" w:cs="Times New Roman"/>
                <w:lang w:val="en-US"/>
              </w:rPr>
              <w:t xml:space="preserve">$20 </w:t>
            </w:r>
            <w:proofErr w:type="spellStart"/>
            <w:r w:rsidRPr="00DD2711">
              <w:rPr>
                <w:rFonts w:ascii="Times New Roman" w:hAnsi="Times New Roman" w:cs="Times New Roman"/>
                <w:lang w:val="en-US"/>
              </w:rPr>
              <w:t>mln</w:t>
            </w:r>
            <w:proofErr w:type="spellEnd"/>
            <w:r w:rsidRPr="00DD2711">
              <w:rPr>
                <w:rFonts w:ascii="Times New Roman" w:hAnsi="Times New Roman" w:cs="Times New Roman"/>
                <w:lang w:val="en-US"/>
              </w:rPr>
              <w:t xml:space="preserve"> </w:t>
            </w:r>
            <w:r w:rsidR="00DD2711">
              <w:rPr>
                <w:rFonts w:ascii="Times New Roman" w:hAnsi="Times New Roman" w:cs="Times New Roman"/>
                <w:lang w:val="en-US"/>
              </w:rPr>
              <w:t>s</w:t>
            </w:r>
            <w:r w:rsidR="00DD2711" w:rsidRPr="00DD2711">
              <w:rPr>
                <w:rFonts w:ascii="Times New Roman" w:hAnsi="Times New Roman" w:cs="Times New Roman"/>
                <w:lang w:val="en-US"/>
              </w:rPr>
              <w:t xml:space="preserve">hareholder financing </w:t>
            </w:r>
            <w:r>
              <w:rPr>
                <w:rFonts w:ascii="Times New Roman" w:hAnsi="Times New Roman" w:cs="Times New Roman"/>
                <w:lang w:val="en-US"/>
              </w:rPr>
              <w:t xml:space="preserve">to optimize </w:t>
            </w:r>
            <w:r w:rsidR="00DD2711">
              <w:rPr>
                <w:rFonts w:ascii="Times New Roman" w:hAnsi="Times New Roman" w:cs="Times New Roman"/>
                <w:lang w:val="en-US"/>
              </w:rPr>
              <w:t>company’s</w:t>
            </w:r>
            <w:r w:rsidR="00DD2711" w:rsidRPr="00DD2711">
              <w:rPr>
                <w:rFonts w:ascii="Times New Roman" w:hAnsi="Times New Roman" w:cs="Times New Roman"/>
                <w:lang w:val="en-US"/>
              </w:rPr>
              <w:t xml:space="preserve"> debt profile</w:t>
            </w:r>
            <w:r w:rsidR="00CF3650">
              <w:rPr>
                <w:rFonts w:ascii="Times New Roman" w:hAnsi="Times New Roman" w:cs="Times New Roman"/>
                <w:lang w:val="en-US"/>
              </w:rPr>
              <w:t>;</w:t>
            </w:r>
          </w:p>
          <w:p w:rsidR="00DD2711" w:rsidRPr="00DD2711" w:rsidRDefault="00A038B9" w:rsidP="00DD2711">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lastRenderedPageBreak/>
              <w:t xml:space="preserve">&gt;$500 </w:t>
            </w:r>
            <w:proofErr w:type="spellStart"/>
            <w:r>
              <w:rPr>
                <w:rFonts w:ascii="Times New Roman" w:hAnsi="Times New Roman" w:cs="Times New Roman"/>
                <w:lang w:val="en-US"/>
              </w:rPr>
              <w:t>mln</w:t>
            </w:r>
            <w:proofErr w:type="spellEnd"/>
            <w:r w:rsidR="00DD2711" w:rsidRPr="00DD2711">
              <w:rPr>
                <w:rFonts w:ascii="Times New Roman" w:hAnsi="Times New Roman" w:cs="Times New Roman"/>
                <w:lang w:val="en-US"/>
              </w:rPr>
              <w:t xml:space="preserve"> </w:t>
            </w:r>
            <w:r>
              <w:rPr>
                <w:rFonts w:ascii="Times New Roman" w:hAnsi="Times New Roman" w:cs="Times New Roman"/>
                <w:lang w:val="en-US"/>
              </w:rPr>
              <w:t xml:space="preserve">purchased </w:t>
            </w:r>
            <w:r w:rsidR="00FC311E">
              <w:rPr>
                <w:rFonts w:ascii="Times New Roman" w:hAnsi="Times New Roman" w:cs="Times New Roman"/>
                <w:lang w:val="en-US"/>
              </w:rPr>
              <w:t xml:space="preserve">LMA </w:t>
            </w:r>
            <w:r w:rsidR="00DD2711" w:rsidRPr="00DD2711">
              <w:rPr>
                <w:rFonts w:ascii="Times New Roman" w:hAnsi="Times New Roman" w:cs="Times New Roman"/>
                <w:lang w:val="en-US"/>
              </w:rPr>
              <w:t xml:space="preserve">loans </w:t>
            </w:r>
            <w:r>
              <w:rPr>
                <w:rFonts w:ascii="Times New Roman" w:hAnsi="Times New Roman" w:cs="Times New Roman"/>
                <w:lang w:val="en-US"/>
              </w:rPr>
              <w:t xml:space="preserve">via </w:t>
            </w:r>
            <w:r w:rsidR="00DD2711" w:rsidRPr="00DD2711">
              <w:rPr>
                <w:rFonts w:ascii="Times New Roman" w:hAnsi="Times New Roman" w:cs="Times New Roman"/>
                <w:lang w:val="en-US"/>
              </w:rPr>
              <w:t>derivative contracts or transfer certificates/ assignment agreements</w:t>
            </w:r>
            <w:r w:rsidR="00CF3650">
              <w:rPr>
                <w:rFonts w:ascii="Times New Roman" w:hAnsi="Times New Roman" w:cs="Times New Roman"/>
                <w:lang w:val="en-US"/>
              </w:rPr>
              <w:t>;</w:t>
            </w:r>
          </w:p>
          <w:p w:rsidR="00261CA0" w:rsidRDefault="00A038B9" w:rsidP="00A038B9">
            <w:pPr>
              <w:pStyle w:val="a7"/>
              <w:numPr>
                <w:ilvl w:val="0"/>
                <w:numId w:val="1"/>
              </w:numPr>
              <w:spacing w:before="240" w:after="120"/>
              <w:ind w:left="318"/>
              <w:jc w:val="both"/>
              <w:rPr>
                <w:rFonts w:ascii="Times New Roman" w:hAnsi="Times New Roman" w:cs="Times New Roman"/>
                <w:lang w:val="en-US"/>
              </w:rPr>
            </w:pPr>
            <w:r w:rsidRPr="00A038B9">
              <w:rPr>
                <w:rFonts w:ascii="Times New Roman" w:hAnsi="Times New Roman" w:cs="Times New Roman"/>
                <w:lang w:val="en-US"/>
              </w:rPr>
              <w:t>&gt;</w:t>
            </w:r>
            <w:r w:rsidRPr="00A038B9">
              <w:rPr>
                <w:rFonts w:ascii="Times New Roman" w:hAnsi="Times New Roman" w:cs="Times New Roman"/>
                <w:lang w:val="en-US"/>
              </w:rPr>
              <w:t>$</w:t>
            </w:r>
            <w:r>
              <w:rPr>
                <w:rFonts w:ascii="Times New Roman" w:hAnsi="Times New Roman" w:cs="Times New Roman"/>
                <w:lang w:val="en-US"/>
              </w:rPr>
              <w:t>6</w:t>
            </w:r>
            <w:r w:rsidRPr="00A038B9">
              <w:rPr>
                <w:rFonts w:ascii="Times New Roman" w:hAnsi="Times New Roman" w:cs="Times New Roman"/>
                <w:lang w:val="en-US"/>
              </w:rPr>
              <w:t>00</w:t>
            </w:r>
            <w:r w:rsidRPr="00A038B9">
              <w:rPr>
                <w:rFonts w:ascii="Times New Roman" w:hAnsi="Times New Roman" w:cs="Times New Roman"/>
                <w:lang w:val="en-US"/>
              </w:rPr>
              <w:t xml:space="preserve"> </w:t>
            </w:r>
            <w:proofErr w:type="spellStart"/>
            <w:r w:rsidRPr="00A038B9">
              <w:rPr>
                <w:rFonts w:ascii="Times New Roman" w:hAnsi="Times New Roman" w:cs="Times New Roman"/>
                <w:lang w:val="en-US"/>
              </w:rPr>
              <w:t>mln</w:t>
            </w:r>
            <w:proofErr w:type="spellEnd"/>
            <w:r>
              <w:rPr>
                <w:rFonts w:ascii="Times New Roman" w:hAnsi="Times New Roman" w:cs="Times New Roman"/>
                <w:lang w:val="en-US"/>
              </w:rPr>
              <w:t xml:space="preserve"> </w:t>
            </w:r>
            <w:r w:rsidR="00CF3650">
              <w:rPr>
                <w:rFonts w:ascii="Times New Roman" w:hAnsi="Times New Roman" w:cs="Times New Roman"/>
                <w:lang w:val="en-US"/>
              </w:rPr>
              <w:t xml:space="preserve">various </w:t>
            </w:r>
            <w:r w:rsidR="00DD2711" w:rsidRPr="00A038B9">
              <w:rPr>
                <w:rFonts w:ascii="Times New Roman" w:hAnsi="Times New Roman" w:cs="Times New Roman"/>
                <w:lang w:val="en-US"/>
              </w:rPr>
              <w:t>PXF transaction</w:t>
            </w:r>
            <w:r>
              <w:rPr>
                <w:rFonts w:ascii="Times New Roman" w:hAnsi="Times New Roman" w:cs="Times New Roman"/>
                <w:lang w:val="en-US"/>
              </w:rPr>
              <w:t>s</w:t>
            </w:r>
            <w:r w:rsidR="00DD2711" w:rsidRPr="00A038B9">
              <w:rPr>
                <w:rFonts w:ascii="Times New Roman" w:hAnsi="Times New Roman" w:cs="Times New Roman"/>
                <w:lang w:val="en-US"/>
              </w:rPr>
              <w:t xml:space="preserve"> for </w:t>
            </w:r>
            <w:proofErr w:type="spellStart"/>
            <w:r w:rsidR="00DD2711" w:rsidRPr="00A038B9">
              <w:rPr>
                <w:rFonts w:ascii="Times New Roman" w:hAnsi="Times New Roman" w:cs="Times New Roman"/>
                <w:lang w:val="en-US"/>
              </w:rPr>
              <w:t>metal&amp;mining</w:t>
            </w:r>
            <w:proofErr w:type="spellEnd"/>
            <w:r w:rsidR="00DD2711" w:rsidRPr="00A038B9">
              <w:rPr>
                <w:rFonts w:ascii="Times New Roman" w:hAnsi="Times New Roman" w:cs="Times New Roman"/>
                <w:lang w:val="en-US"/>
              </w:rPr>
              <w:t xml:space="preserve"> compan</w:t>
            </w:r>
            <w:r>
              <w:rPr>
                <w:rFonts w:ascii="Times New Roman" w:hAnsi="Times New Roman" w:cs="Times New Roman"/>
                <w:lang w:val="en-US"/>
              </w:rPr>
              <w:t>ies</w:t>
            </w:r>
            <w:r w:rsidR="00CF3650">
              <w:rPr>
                <w:rFonts w:ascii="Times New Roman" w:hAnsi="Times New Roman" w:cs="Times New Roman"/>
                <w:lang w:val="en-US"/>
              </w:rPr>
              <w:t>;</w:t>
            </w:r>
            <w:r w:rsidR="00DD2711" w:rsidRPr="00A038B9">
              <w:rPr>
                <w:rFonts w:ascii="Times New Roman" w:hAnsi="Times New Roman" w:cs="Times New Roman"/>
                <w:lang w:val="en-US"/>
              </w:rPr>
              <w:t xml:space="preserve"> </w:t>
            </w:r>
          </w:p>
          <w:p w:rsidR="00261CA0" w:rsidRDefault="00A038B9" w:rsidP="00261CA0">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 xml:space="preserve">$50 </w:t>
            </w:r>
            <w:proofErr w:type="spellStart"/>
            <w:r>
              <w:rPr>
                <w:rFonts w:ascii="Times New Roman" w:hAnsi="Times New Roman" w:cs="Times New Roman"/>
                <w:lang w:val="en-US"/>
              </w:rPr>
              <w:t>m</w:t>
            </w:r>
            <w:r w:rsidR="005B33C8">
              <w:rPr>
                <w:rFonts w:ascii="Times New Roman" w:hAnsi="Times New Roman" w:cs="Times New Roman"/>
                <w:lang w:val="en-US"/>
              </w:rPr>
              <w:t>ln</w:t>
            </w:r>
            <w:proofErr w:type="spellEnd"/>
            <w:r>
              <w:rPr>
                <w:rFonts w:ascii="Times New Roman" w:hAnsi="Times New Roman" w:cs="Times New Roman"/>
                <w:lang w:val="en-US"/>
              </w:rPr>
              <w:t xml:space="preserve"> purchased </w:t>
            </w:r>
            <w:r w:rsidR="00261CA0">
              <w:rPr>
                <w:rFonts w:ascii="Times New Roman" w:hAnsi="Times New Roman" w:cs="Times New Roman"/>
                <w:lang w:val="en-US"/>
              </w:rPr>
              <w:t>distress</w:t>
            </w:r>
            <w:r>
              <w:rPr>
                <w:rFonts w:ascii="Times New Roman" w:hAnsi="Times New Roman" w:cs="Times New Roman"/>
                <w:lang w:val="en-US"/>
              </w:rPr>
              <w:t>ed</w:t>
            </w:r>
            <w:r w:rsidR="00261CA0">
              <w:rPr>
                <w:rFonts w:ascii="Times New Roman" w:hAnsi="Times New Roman" w:cs="Times New Roman"/>
                <w:lang w:val="en-US"/>
              </w:rPr>
              <w:t xml:space="preserve"> assets </w:t>
            </w:r>
            <w:r>
              <w:rPr>
                <w:rFonts w:ascii="Times New Roman" w:hAnsi="Times New Roman" w:cs="Times New Roman"/>
                <w:lang w:val="en-US"/>
              </w:rPr>
              <w:t xml:space="preserve">and </w:t>
            </w:r>
            <w:r w:rsidR="00EB5E1A">
              <w:rPr>
                <w:rFonts w:ascii="Times New Roman" w:hAnsi="Times New Roman" w:cs="Times New Roman"/>
                <w:lang w:val="en-US"/>
              </w:rPr>
              <w:t xml:space="preserve">forthcoming </w:t>
            </w:r>
            <w:r>
              <w:rPr>
                <w:rFonts w:ascii="Times New Roman" w:hAnsi="Times New Roman" w:cs="Times New Roman"/>
                <w:lang w:val="en-US"/>
              </w:rPr>
              <w:t>successful sale</w:t>
            </w:r>
            <w:r w:rsidR="00CF3650">
              <w:rPr>
                <w:rFonts w:ascii="Times New Roman" w:hAnsi="Times New Roman" w:cs="Times New Roman"/>
                <w:lang w:val="en-US"/>
              </w:rPr>
              <w:t>;</w:t>
            </w:r>
          </w:p>
          <w:p w:rsidR="00261CA0" w:rsidRPr="00D916A2" w:rsidRDefault="00EB5E1A" w:rsidP="00D916A2">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 xml:space="preserve">$135 </w:t>
            </w:r>
            <w:proofErr w:type="spellStart"/>
            <w:r>
              <w:rPr>
                <w:rFonts w:ascii="Times New Roman" w:hAnsi="Times New Roman" w:cs="Times New Roman"/>
                <w:lang w:val="en-US"/>
              </w:rPr>
              <w:t>mln</w:t>
            </w:r>
            <w:proofErr w:type="spellEnd"/>
            <w:r>
              <w:rPr>
                <w:rFonts w:ascii="Times New Roman" w:hAnsi="Times New Roman" w:cs="Times New Roman"/>
                <w:lang w:val="en-US"/>
              </w:rPr>
              <w:t xml:space="preserve"> </w:t>
            </w:r>
            <w:r w:rsidR="00261CA0">
              <w:rPr>
                <w:rFonts w:ascii="Times New Roman" w:hAnsi="Times New Roman" w:cs="Times New Roman"/>
                <w:lang w:val="en-US"/>
              </w:rPr>
              <w:t>corporate</w:t>
            </w:r>
            <w:r>
              <w:rPr>
                <w:rFonts w:ascii="Times New Roman" w:hAnsi="Times New Roman" w:cs="Times New Roman"/>
                <w:lang w:val="en-US"/>
              </w:rPr>
              <w:t xml:space="preserve"> loan restructuring</w:t>
            </w:r>
            <w:r w:rsidR="00261CA0">
              <w:rPr>
                <w:rFonts w:ascii="Times New Roman" w:hAnsi="Times New Roman" w:cs="Times New Roman"/>
                <w:lang w:val="en-US"/>
              </w:rPr>
              <w:t xml:space="preserve"> in the form of </w:t>
            </w:r>
            <w:r>
              <w:rPr>
                <w:rFonts w:ascii="Times New Roman" w:hAnsi="Times New Roman" w:cs="Times New Roman"/>
                <w:lang w:val="en-US"/>
              </w:rPr>
              <w:t xml:space="preserve">Russian </w:t>
            </w:r>
            <w:r w:rsidR="00261CA0">
              <w:rPr>
                <w:rFonts w:ascii="Times New Roman" w:hAnsi="Times New Roman" w:cs="Times New Roman"/>
                <w:lang w:val="en-US"/>
              </w:rPr>
              <w:t>syndicate</w:t>
            </w:r>
            <w:r w:rsidR="00174120">
              <w:rPr>
                <w:rFonts w:ascii="Times New Roman" w:hAnsi="Times New Roman" w:cs="Times New Roman"/>
                <w:lang w:val="en-US"/>
              </w:rPr>
              <w:t>d</w:t>
            </w:r>
            <w:r w:rsidR="00261CA0">
              <w:rPr>
                <w:rFonts w:ascii="Times New Roman" w:hAnsi="Times New Roman" w:cs="Times New Roman"/>
                <w:lang w:val="en-US"/>
              </w:rPr>
              <w:t xml:space="preserve"> loan</w:t>
            </w:r>
          </w:p>
        </w:tc>
      </w:tr>
      <w:tr w:rsidR="003E60A5" w:rsidRPr="008B6FB3" w:rsidTr="000D0993">
        <w:tc>
          <w:tcPr>
            <w:tcW w:w="2802" w:type="dxa"/>
            <w:tcBorders>
              <w:top w:val="single" w:sz="4" w:space="0" w:color="000000" w:themeColor="text1"/>
              <w:bottom w:val="single" w:sz="4" w:space="0" w:color="000000" w:themeColor="text1"/>
            </w:tcBorders>
            <w:vAlign w:val="center"/>
          </w:tcPr>
          <w:p w:rsidR="003E60A5" w:rsidRPr="003B5BCE" w:rsidRDefault="003E60A5" w:rsidP="003E60A5">
            <w:pPr>
              <w:spacing w:before="240" w:after="120"/>
              <w:jc w:val="both"/>
              <w:rPr>
                <w:rFonts w:ascii="Times New Roman" w:hAnsi="Times New Roman" w:cs="Times New Roman"/>
                <w:i/>
                <w:lang w:val="en-US"/>
              </w:rPr>
            </w:pPr>
            <w:r>
              <w:rPr>
                <w:rFonts w:ascii="Times New Roman" w:hAnsi="Times New Roman" w:cs="Times New Roman"/>
                <w:i/>
                <w:lang w:val="en-US"/>
              </w:rPr>
              <w:lastRenderedPageBreak/>
              <w:t>Main achievements in 201</w:t>
            </w:r>
            <w:r>
              <w:rPr>
                <w:rFonts w:ascii="Times New Roman" w:hAnsi="Times New Roman" w:cs="Times New Roman"/>
                <w:i/>
                <w:lang w:val="en-US"/>
              </w:rPr>
              <w:t>5</w:t>
            </w:r>
            <w:r>
              <w:rPr>
                <w:rFonts w:ascii="Times New Roman" w:hAnsi="Times New Roman" w:cs="Times New Roman"/>
                <w:i/>
                <w:lang w:val="en-US"/>
              </w:rPr>
              <w:t>-201</w:t>
            </w:r>
            <w:r>
              <w:rPr>
                <w:rFonts w:ascii="Times New Roman" w:hAnsi="Times New Roman" w:cs="Times New Roman"/>
                <w:i/>
                <w:lang w:val="en-US"/>
              </w:rPr>
              <w:t>8</w:t>
            </w:r>
          </w:p>
        </w:tc>
        <w:tc>
          <w:tcPr>
            <w:tcW w:w="6769" w:type="dxa"/>
            <w:tcBorders>
              <w:top w:val="single" w:sz="4" w:space="0" w:color="000000" w:themeColor="text1"/>
              <w:bottom w:val="single" w:sz="4" w:space="0" w:color="000000" w:themeColor="text1"/>
            </w:tcBorders>
            <w:vAlign w:val="center"/>
          </w:tcPr>
          <w:p w:rsidR="003E60A5"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 xml:space="preserve">more than 25 transactions closed </w:t>
            </w:r>
            <w:r w:rsidR="005B33C8">
              <w:rPr>
                <w:rFonts w:ascii="Times New Roman" w:hAnsi="Times New Roman" w:cs="Times New Roman"/>
                <w:lang w:val="en-US"/>
              </w:rPr>
              <w:t xml:space="preserve">during last </w:t>
            </w:r>
            <w:r>
              <w:rPr>
                <w:rFonts w:ascii="Times New Roman" w:hAnsi="Times New Roman" w:cs="Times New Roman"/>
                <w:lang w:val="en-US"/>
              </w:rPr>
              <w:t>4 years</w:t>
            </w:r>
            <w:r w:rsidR="005B33C8">
              <w:rPr>
                <w:rFonts w:ascii="Times New Roman" w:hAnsi="Times New Roman" w:cs="Times New Roman"/>
                <w:lang w:val="en-US"/>
              </w:rPr>
              <w:t>;</w:t>
            </w:r>
          </w:p>
          <w:p w:rsidR="003E60A5"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 xml:space="preserve">huge amount </w:t>
            </w:r>
            <w:r w:rsidR="005B33C8">
              <w:rPr>
                <w:rFonts w:ascii="Times New Roman" w:hAnsi="Times New Roman" w:cs="Times New Roman"/>
                <w:lang w:val="en-US"/>
              </w:rPr>
              <w:t xml:space="preserve">of contacts and relations in Russian corporates and family offices; </w:t>
            </w:r>
          </w:p>
          <w:p w:rsidR="003E60A5" w:rsidRDefault="005B33C8"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lead member of the team which earn</w:t>
            </w:r>
            <w:r w:rsidR="00901361">
              <w:rPr>
                <w:rFonts w:ascii="Times New Roman" w:hAnsi="Times New Roman" w:cs="Times New Roman"/>
                <w:lang w:val="en-US"/>
              </w:rPr>
              <w:t>ed</w:t>
            </w:r>
            <w:r>
              <w:rPr>
                <w:rFonts w:ascii="Times New Roman" w:hAnsi="Times New Roman" w:cs="Times New Roman"/>
                <w:lang w:val="en-US"/>
              </w:rPr>
              <w:t xml:space="preserve"> more than $40 </w:t>
            </w:r>
            <w:proofErr w:type="spellStart"/>
            <w:r>
              <w:rPr>
                <w:rFonts w:ascii="Times New Roman" w:hAnsi="Times New Roman" w:cs="Times New Roman"/>
                <w:lang w:val="en-US"/>
              </w:rPr>
              <w:t>mln</w:t>
            </w:r>
            <w:proofErr w:type="spellEnd"/>
            <w:r>
              <w:rPr>
                <w:rFonts w:ascii="Times New Roman" w:hAnsi="Times New Roman" w:cs="Times New Roman"/>
                <w:lang w:val="en-US"/>
              </w:rPr>
              <w:t xml:space="preserve"> per year starting from 2015</w:t>
            </w:r>
          </w:p>
        </w:tc>
      </w:tr>
      <w:tr w:rsidR="003E60A5" w:rsidRPr="008B6FB3" w:rsidTr="000D0993">
        <w:tc>
          <w:tcPr>
            <w:tcW w:w="2802" w:type="dxa"/>
            <w:tcBorders>
              <w:top w:val="single" w:sz="4" w:space="0" w:color="000000" w:themeColor="text1"/>
              <w:bottom w:val="single" w:sz="4" w:space="0" w:color="000000" w:themeColor="text1"/>
            </w:tcBorders>
            <w:vAlign w:val="center"/>
          </w:tcPr>
          <w:p w:rsidR="003E60A5" w:rsidRDefault="003E60A5" w:rsidP="003E60A5">
            <w:pPr>
              <w:spacing w:before="240" w:after="120"/>
              <w:jc w:val="both"/>
              <w:rPr>
                <w:rFonts w:ascii="Times New Roman" w:hAnsi="Times New Roman" w:cs="Times New Roman"/>
                <w:b/>
                <w:lang w:val="en-US"/>
              </w:rPr>
            </w:pPr>
            <w:r>
              <w:rPr>
                <w:rFonts w:ascii="Times New Roman" w:hAnsi="Times New Roman" w:cs="Times New Roman"/>
                <w:b/>
                <w:lang w:val="en-US"/>
              </w:rPr>
              <w:t>May 2011 – June 2014</w:t>
            </w:r>
          </w:p>
        </w:tc>
        <w:tc>
          <w:tcPr>
            <w:tcW w:w="6769" w:type="dxa"/>
            <w:tcBorders>
              <w:top w:val="single" w:sz="4" w:space="0" w:color="000000" w:themeColor="text1"/>
              <w:bottom w:val="single" w:sz="4" w:space="0" w:color="000000" w:themeColor="text1"/>
            </w:tcBorders>
            <w:vAlign w:val="center"/>
          </w:tcPr>
          <w:p w:rsidR="003E60A5" w:rsidRDefault="003E60A5" w:rsidP="003E60A5">
            <w:pPr>
              <w:spacing w:before="240" w:after="120"/>
              <w:jc w:val="both"/>
              <w:rPr>
                <w:rFonts w:ascii="Times New Roman" w:hAnsi="Times New Roman" w:cs="Times New Roman"/>
                <w:lang w:val="en-US"/>
              </w:rPr>
            </w:pPr>
            <w:r>
              <w:rPr>
                <w:rFonts w:ascii="Times New Roman" w:hAnsi="Times New Roman" w:cs="Times New Roman"/>
                <w:lang w:val="en-US"/>
              </w:rPr>
              <w:t>ALFA-BANK, Structured Products, Specialist</w:t>
            </w:r>
          </w:p>
        </w:tc>
      </w:tr>
      <w:tr w:rsidR="003E60A5" w:rsidRPr="008B6FB3" w:rsidTr="000D0993">
        <w:tc>
          <w:tcPr>
            <w:tcW w:w="2802" w:type="dxa"/>
            <w:tcBorders>
              <w:top w:val="single" w:sz="4" w:space="0" w:color="000000" w:themeColor="text1"/>
              <w:bottom w:val="single" w:sz="4" w:space="0" w:color="000000" w:themeColor="text1"/>
            </w:tcBorders>
            <w:vAlign w:val="center"/>
          </w:tcPr>
          <w:p w:rsidR="003E60A5" w:rsidRPr="003B5BCE" w:rsidRDefault="003E60A5" w:rsidP="003E60A5">
            <w:pPr>
              <w:spacing w:before="240" w:after="120"/>
              <w:jc w:val="both"/>
              <w:rPr>
                <w:rFonts w:ascii="Times New Roman" w:hAnsi="Times New Roman" w:cs="Times New Roman"/>
                <w:i/>
                <w:lang w:val="en-US"/>
              </w:rPr>
            </w:pPr>
            <w:r w:rsidRPr="003B5BCE">
              <w:rPr>
                <w:rFonts w:ascii="Times New Roman" w:hAnsi="Times New Roman" w:cs="Times New Roman"/>
                <w:i/>
                <w:lang w:val="en-US"/>
              </w:rPr>
              <w:t>Responsibilities</w:t>
            </w:r>
          </w:p>
        </w:tc>
        <w:tc>
          <w:tcPr>
            <w:tcW w:w="6769" w:type="dxa"/>
            <w:tcBorders>
              <w:top w:val="single" w:sz="4" w:space="0" w:color="000000" w:themeColor="text1"/>
              <w:bottom w:val="single" w:sz="4" w:space="0" w:color="000000" w:themeColor="text1"/>
            </w:tcBorders>
            <w:vAlign w:val="center"/>
          </w:tcPr>
          <w:p w:rsidR="003E60A5" w:rsidRDefault="003E60A5" w:rsidP="003E60A5">
            <w:pPr>
              <w:pStyle w:val="a7"/>
              <w:numPr>
                <w:ilvl w:val="0"/>
                <w:numId w:val="1"/>
              </w:numPr>
              <w:spacing w:before="240" w:after="120"/>
              <w:ind w:left="318"/>
              <w:jc w:val="both"/>
              <w:rPr>
                <w:rFonts w:ascii="Times New Roman" w:hAnsi="Times New Roman" w:cs="Times New Roman"/>
                <w:lang w:val="en-US"/>
              </w:rPr>
            </w:pPr>
            <w:r w:rsidRPr="00FA6CCA">
              <w:rPr>
                <w:rFonts w:ascii="Times New Roman" w:hAnsi="Times New Roman" w:cs="Times New Roman"/>
                <w:lang w:val="en-US"/>
              </w:rPr>
              <w:t>participation in deal structuring process</w:t>
            </w:r>
            <w:r>
              <w:rPr>
                <w:rFonts w:ascii="Times New Roman" w:hAnsi="Times New Roman" w:cs="Times New Roman"/>
                <w:lang w:val="en-US"/>
              </w:rPr>
              <w:t>;</w:t>
            </w:r>
          </w:p>
          <w:p w:rsidR="003E60A5" w:rsidRPr="00FA6CCA" w:rsidRDefault="003E60A5" w:rsidP="003E60A5">
            <w:pPr>
              <w:pStyle w:val="a7"/>
              <w:numPr>
                <w:ilvl w:val="0"/>
                <w:numId w:val="1"/>
              </w:numPr>
              <w:spacing w:before="240" w:after="120"/>
              <w:ind w:left="318"/>
              <w:jc w:val="both"/>
              <w:rPr>
                <w:rFonts w:ascii="Times New Roman" w:hAnsi="Times New Roman" w:cs="Times New Roman"/>
                <w:lang w:val="en-US"/>
              </w:rPr>
            </w:pPr>
            <w:r w:rsidRPr="00FA6CCA">
              <w:rPr>
                <w:rFonts w:ascii="Times New Roman" w:hAnsi="Times New Roman" w:cs="Times New Roman"/>
                <w:lang w:val="en-US"/>
              </w:rPr>
              <w:t>prepar</w:t>
            </w:r>
            <w:r>
              <w:rPr>
                <w:rFonts w:ascii="Times New Roman" w:hAnsi="Times New Roman" w:cs="Times New Roman"/>
                <w:lang w:val="en-US"/>
              </w:rPr>
              <w:t xml:space="preserve">ation of presentations, term </w:t>
            </w:r>
            <w:r w:rsidRPr="00FA6CCA">
              <w:rPr>
                <w:rFonts w:ascii="Times New Roman" w:hAnsi="Times New Roman" w:cs="Times New Roman"/>
                <w:lang w:val="en-US"/>
              </w:rPr>
              <w:t>sheets, mandates</w:t>
            </w:r>
            <w:r>
              <w:rPr>
                <w:rFonts w:ascii="Times New Roman" w:hAnsi="Times New Roman" w:cs="Times New Roman"/>
                <w:lang w:val="en-US"/>
              </w:rPr>
              <w:t xml:space="preserve"> for Corporate and Investment Bank sales teams;</w:t>
            </w:r>
          </w:p>
          <w:p w:rsidR="003E60A5"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 xml:space="preserve">approval: negotiating with corporate analytics, risk management, legal and compliance departments, direct supervision </w:t>
            </w:r>
            <w:r w:rsidR="00901361">
              <w:rPr>
                <w:rFonts w:ascii="Times New Roman" w:hAnsi="Times New Roman" w:cs="Times New Roman"/>
                <w:lang w:val="en-US"/>
              </w:rPr>
              <w:t>after the</w:t>
            </w:r>
            <w:r>
              <w:rPr>
                <w:rFonts w:ascii="Times New Roman" w:hAnsi="Times New Roman" w:cs="Times New Roman"/>
                <w:lang w:val="en-US"/>
              </w:rPr>
              <w:t xml:space="preserve"> preparation of documents for Credit, Board and ALCO committees</w:t>
            </w:r>
            <w:r w:rsidR="00901361">
              <w:rPr>
                <w:rFonts w:ascii="Times New Roman" w:hAnsi="Times New Roman" w:cs="Times New Roman"/>
                <w:lang w:val="en-US"/>
              </w:rPr>
              <w:t>;</w:t>
            </w:r>
          </w:p>
          <w:p w:rsidR="003E60A5"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closing: participation in deal closing process</w:t>
            </w:r>
            <w:r w:rsidRPr="005337E3">
              <w:rPr>
                <w:rFonts w:ascii="Times New Roman" w:hAnsi="Times New Roman" w:cs="Times New Roman"/>
                <w:lang w:val="en-US"/>
              </w:rPr>
              <w:t>,</w:t>
            </w:r>
            <w:r>
              <w:rPr>
                <w:rFonts w:ascii="Times New Roman" w:hAnsi="Times New Roman" w:cs="Times New Roman"/>
                <w:lang w:val="en-US"/>
              </w:rPr>
              <w:t xml:space="preserve"> negotiations with clients, internal and external specialists (e.g. lawyers, tax consultants, accountants etc.)</w:t>
            </w:r>
            <w:r w:rsidR="00901361">
              <w:rPr>
                <w:rFonts w:ascii="Times New Roman" w:hAnsi="Times New Roman" w:cs="Times New Roman"/>
                <w:lang w:val="en-US"/>
              </w:rPr>
              <w:t>;</w:t>
            </w:r>
          </w:p>
          <w:p w:rsidR="003E60A5" w:rsidRPr="003B5BCE"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preparation of reports and presentations concerning results, plans, new projects and strategy for managing directors and top-management</w:t>
            </w:r>
          </w:p>
        </w:tc>
      </w:tr>
      <w:tr w:rsidR="003E60A5" w:rsidRPr="008B6FB3" w:rsidTr="000D0993">
        <w:tc>
          <w:tcPr>
            <w:tcW w:w="2802" w:type="dxa"/>
            <w:tcBorders>
              <w:top w:val="single" w:sz="4" w:space="0" w:color="000000" w:themeColor="text1"/>
              <w:bottom w:val="single" w:sz="4" w:space="0" w:color="000000" w:themeColor="text1"/>
            </w:tcBorders>
            <w:vAlign w:val="center"/>
          </w:tcPr>
          <w:p w:rsidR="003E60A5" w:rsidRDefault="003E60A5" w:rsidP="003E60A5">
            <w:pPr>
              <w:spacing w:before="240" w:after="120"/>
              <w:jc w:val="both"/>
              <w:rPr>
                <w:rFonts w:ascii="Times New Roman" w:hAnsi="Times New Roman" w:cs="Times New Roman"/>
                <w:b/>
                <w:lang w:val="en-US"/>
              </w:rPr>
            </w:pPr>
            <w:r>
              <w:rPr>
                <w:rFonts w:ascii="Times New Roman" w:hAnsi="Times New Roman" w:cs="Times New Roman"/>
                <w:b/>
                <w:lang w:val="en-US"/>
              </w:rPr>
              <w:t>May 2010 – May 2011</w:t>
            </w:r>
          </w:p>
        </w:tc>
        <w:tc>
          <w:tcPr>
            <w:tcW w:w="6769" w:type="dxa"/>
            <w:tcBorders>
              <w:top w:val="single" w:sz="4" w:space="0" w:color="000000" w:themeColor="text1"/>
              <w:bottom w:val="single" w:sz="4" w:space="0" w:color="000000" w:themeColor="text1"/>
            </w:tcBorders>
            <w:vAlign w:val="center"/>
          </w:tcPr>
          <w:p w:rsidR="003E60A5" w:rsidRDefault="003E60A5" w:rsidP="003E60A5">
            <w:pPr>
              <w:spacing w:before="240" w:after="120"/>
              <w:jc w:val="both"/>
              <w:rPr>
                <w:rFonts w:ascii="Times New Roman" w:hAnsi="Times New Roman" w:cs="Times New Roman"/>
                <w:lang w:val="en-US"/>
              </w:rPr>
            </w:pPr>
            <w:r>
              <w:rPr>
                <w:rFonts w:ascii="Times New Roman" w:hAnsi="Times New Roman" w:cs="Times New Roman"/>
                <w:lang w:val="en-US"/>
              </w:rPr>
              <w:t>ALFA-BANK, Fixed Income and Derivatives, Specialist</w:t>
            </w:r>
          </w:p>
        </w:tc>
      </w:tr>
      <w:tr w:rsidR="003E60A5" w:rsidRPr="008B6FB3" w:rsidTr="000D0993">
        <w:tc>
          <w:tcPr>
            <w:tcW w:w="2802" w:type="dxa"/>
            <w:tcBorders>
              <w:top w:val="single" w:sz="4" w:space="0" w:color="000000" w:themeColor="text1"/>
              <w:bottom w:val="single" w:sz="4" w:space="0" w:color="000000" w:themeColor="text1"/>
            </w:tcBorders>
            <w:vAlign w:val="center"/>
          </w:tcPr>
          <w:p w:rsidR="003E60A5" w:rsidRPr="003B5BCE" w:rsidRDefault="003E60A5" w:rsidP="003E60A5">
            <w:pPr>
              <w:spacing w:before="240" w:after="120"/>
              <w:jc w:val="both"/>
              <w:rPr>
                <w:rFonts w:ascii="Times New Roman" w:hAnsi="Times New Roman" w:cs="Times New Roman"/>
                <w:i/>
                <w:lang w:val="en-US"/>
              </w:rPr>
            </w:pPr>
            <w:r w:rsidRPr="003B5BCE">
              <w:rPr>
                <w:rFonts w:ascii="Times New Roman" w:hAnsi="Times New Roman" w:cs="Times New Roman"/>
                <w:i/>
                <w:lang w:val="en-US"/>
              </w:rPr>
              <w:t>Responsibilities</w:t>
            </w:r>
          </w:p>
        </w:tc>
        <w:tc>
          <w:tcPr>
            <w:tcW w:w="6769" w:type="dxa"/>
            <w:tcBorders>
              <w:top w:val="single" w:sz="4" w:space="0" w:color="000000" w:themeColor="text1"/>
              <w:bottom w:val="single" w:sz="4" w:space="0" w:color="000000" w:themeColor="text1"/>
            </w:tcBorders>
            <w:vAlign w:val="center"/>
          </w:tcPr>
          <w:p w:rsidR="003E60A5"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analyses of company’s financial</w:t>
            </w:r>
            <w:r w:rsidR="004565EE">
              <w:rPr>
                <w:rFonts w:ascii="Times New Roman" w:hAnsi="Times New Roman" w:cs="Times New Roman"/>
                <w:lang w:val="en-US"/>
              </w:rPr>
              <w:t>s</w:t>
            </w:r>
            <w:r>
              <w:rPr>
                <w:rFonts w:ascii="Times New Roman" w:hAnsi="Times New Roman" w:cs="Times New Roman"/>
                <w:lang w:val="en-US"/>
              </w:rPr>
              <w:t xml:space="preserve"> and other </w:t>
            </w:r>
            <w:r w:rsidR="004565EE">
              <w:rPr>
                <w:rFonts w:ascii="Times New Roman" w:hAnsi="Times New Roman" w:cs="Times New Roman"/>
                <w:lang w:val="en-US"/>
              </w:rPr>
              <w:t>applicable</w:t>
            </w:r>
            <w:r>
              <w:rPr>
                <w:rFonts w:ascii="Times New Roman" w:hAnsi="Times New Roman" w:cs="Times New Roman"/>
                <w:lang w:val="en-US"/>
              </w:rPr>
              <w:t xml:space="preserve"> information, updating desk regarding market information, preparing technical documents and updates;</w:t>
            </w:r>
          </w:p>
          <w:p w:rsidR="003E60A5" w:rsidRPr="00FA6CCA" w:rsidRDefault="003E60A5" w:rsidP="003E60A5">
            <w:pPr>
              <w:pStyle w:val="a7"/>
              <w:numPr>
                <w:ilvl w:val="0"/>
                <w:numId w:val="1"/>
              </w:numPr>
              <w:spacing w:before="240" w:after="120"/>
              <w:ind w:left="318"/>
              <w:jc w:val="both"/>
              <w:rPr>
                <w:rFonts w:ascii="Times New Roman" w:hAnsi="Times New Roman" w:cs="Times New Roman"/>
                <w:lang w:val="en-US"/>
              </w:rPr>
            </w:pPr>
            <w:r w:rsidRPr="00FA6CCA">
              <w:rPr>
                <w:rFonts w:ascii="Times New Roman" w:hAnsi="Times New Roman" w:cs="Times New Roman"/>
                <w:lang w:val="en-US"/>
              </w:rPr>
              <w:t>prepar</w:t>
            </w:r>
            <w:r>
              <w:rPr>
                <w:rFonts w:ascii="Times New Roman" w:hAnsi="Times New Roman" w:cs="Times New Roman"/>
                <w:lang w:val="en-US"/>
              </w:rPr>
              <w:t>ation of</w:t>
            </w:r>
            <w:r w:rsidRPr="00FA6CCA">
              <w:rPr>
                <w:rFonts w:ascii="Times New Roman" w:hAnsi="Times New Roman" w:cs="Times New Roman"/>
                <w:lang w:val="en-US"/>
              </w:rPr>
              <w:t xml:space="preserve"> presentations</w:t>
            </w:r>
            <w:r w:rsidRPr="008C3B36">
              <w:rPr>
                <w:rFonts w:ascii="Times New Roman" w:hAnsi="Times New Roman" w:cs="Times New Roman"/>
                <w:lang w:val="en-US"/>
              </w:rPr>
              <w:t xml:space="preserve"> </w:t>
            </w:r>
            <w:r>
              <w:rPr>
                <w:rFonts w:ascii="Times New Roman" w:hAnsi="Times New Roman" w:cs="Times New Roman"/>
                <w:lang w:val="en-US"/>
              </w:rPr>
              <w:t>and</w:t>
            </w:r>
            <w:r w:rsidRPr="00FA6CCA">
              <w:rPr>
                <w:rFonts w:ascii="Times New Roman" w:hAnsi="Times New Roman" w:cs="Times New Roman"/>
                <w:lang w:val="en-US"/>
              </w:rPr>
              <w:t xml:space="preserve"> term-sheets</w:t>
            </w:r>
            <w:r>
              <w:rPr>
                <w:rFonts w:ascii="Times New Roman" w:hAnsi="Times New Roman" w:cs="Times New Roman"/>
                <w:lang w:val="en-US"/>
              </w:rPr>
              <w:t xml:space="preserve"> for FID sales team;</w:t>
            </w:r>
          </w:p>
          <w:p w:rsidR="003E60A5" w:rsidRPr="005C5A6A"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approval: negotiating with credit and risk departments, preparing questions for Credit, Board and ALCO committees to fix limits and approve transactions connected to derivative, structured products, fixed income and debt capital markets businesses</w:t>
            </w:r>
          </w:p>
        </w:tc>
      </w:tr>
      <w:tr w:rsidR="003E60A5" w:rsidRPr="008B6FB3" w:rsidTr="000D0993">
        <w:tc>
          <w:tcPr>
            <w:tcW w:w="2802" w:type="dxa"/>
            <w:tcBorders>
              <w:top w:val="single" w:sz="4" w:space="0" w:color="000000" w:themeColor="text1"/>
              <w:bottom w:val="single" w:sz="4" w:space="0" w:color="000000" w:themeColor="text1"/>
            </w:tcBorders>
            <w:vAlign w:val="center"/>
          </w:tcPr>
          <w:p w:rsidR="003E60A5" w:rsidRPr="003B5BCE" w:rsidRDefault="003E60A5" w:rsidP="003E60A5">
            <w:pPr>
              <w:spacing w:before="240" w:after="120"/>
              <w:jc w:val="both"/>
              <w:rPr>
                <w:rFonts w:ascii="Times New Roman" w:hAnsi="Times New Roman" w:cs="Times New Roman"/>
                <w:i/>
                <w:lang w:val="en-US"/>
              </w:rPr>
            </w:pPr>
            <w:r>
              <w:rPr>
                <w:rFonts w:ascii="Times New Roman" w:hAnsi="Times New Roman" w:cs="Times New Roman"/>
                <w:i/>
                <w:lang w:val="en-US"/>
              </w:rPr>
              <w:t>Main achievements in 2010-2015</w:t>
            </w:r>
          </w:p>
        </w:tc>
        <w:tc>
          <w:tcPr>
            <w:tcW w:w="6769" w:type="dxa"/>
            <w:tcBorders>
              <w:top w:val="single" w:sz="4" w:space="0" w:color="000000" w:themeColor="text1"/>
              <w:bottom w:val="single" w:sz="4" w:space="0" w:color="000000" w:themeColor="text1"/>
            </w:tcBorders>
            <w:vAlign w:val="center"/>
          </w:tcPr>
          <w:p w:rsidR="003E60A5"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participation in closing of 10-12 deals per year</w:t>
            </w:r>
            <w:r w:rsidR="006E57A7">
              <w:rPr>
                <w:rFonts w:ascii="Times New Roman" w:hAnsi="Times New Roman" w:cs="Times New Roman"/>
                <w:lang w:val="en-US"/>
              </w:rPr>
              <w:t>;</w:t>
            </w:r>
          </w:p>
          <w:p w:rsidR="003E60A5"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member of the team which has completed the plan four times</w:t>
            </w:r>
            <w:r w:rsidR="006E57A7">
              <w:rPr>
                <w:rFonts w:ascii="Times New Roman" w:hAnsi="Times New Roman" w:cs="Times New Roman"/>
                <w:lang w:val="en-US"/>
              </w:rPr>
              <w:t xml:space="preserve"> </w:t>
            </w:r>
            <w:proofErr w:type="gramStart"/>
            <w:r w:rsidR="006E57A7">
              <w:rPr>
                <w:rFonts w:ascii="Times New Roman" w:hAnsi="Times New Roman" w:cs="Times New Roman"/>
                <w:lang w:val="en-US"/>
              </w:rPr>
              <w:t>during</w:t>
            </w:r>
            <w:proofErr w:type="gramEnd"/>
            <w:r>
              <w:rPr>
                <w:rFonts w:ascii="Times New Roman" w:hAnsi="Times New Roman" w:cs="Times New Roman"/>
                <w:lang w:val="en-US"/>
              </w:rPr>
              <w:t xml:space="preserve"> five years, 2014 was also a profitable year but team didn’t meet the target</w:t>
            </w:r>
          </w:p>
        </w:tc>
      </w:tr>
      <w:tr w:rsidR="003E60A5" w:rsidRPr="008B6FB3" w:rsidTr="000D0993">
        <w:tc>
          <w:tcPr>
            <w:tcW w:w="2802" w:type="dxa"/>
            <w:tcBorders>
              <w:top w:val="single" w:sz="4" w:space="0" w:color="000000" w:themeColor="text1"/>
              <w:bottom w:val="single" w:sz="4" w:space="0" w:color="000000" w:themeColor="text1"/>
            </w:tcBorders>
            <w:vAlign w:val="center"/>
          </w:tcPr>
          <w:p w:rsidR="003E60A5" w:rsidRDefault="003E60A5" w:rsidP="003E60A5">
            <w:pPr>
              <w:spacing w:before="240" w:after="120"/>
              <w:jc w:val="both"/>
              <w:rPr>
                <w:rFonts w:ascii="Times New Roman" w:hAnsi="Times New Roman" w:cs="Times New Roman"/>
                <w:b/>
                <w:lang w:val="en-US"/>
              </w:rPr>
            </w:pPr>
            <w:r>
              <w:rPr>
                <w:rFonts w:ascii="Times New Roman" w:hAnsi="Times New Roman" w:cs="Times New Roman"/>
                <w:b/>
                <w:lang w:val="en-US"/>
              </w:rPr>
              <w:t>April 2009 – May 2010</w:t>
            </w:r>
          </w:p>
        </w:tc>
        <w:tc>
          <w:tcPr>
            <w:tcW w:w="6769" w:type="dxa"/>
            <w:tcBorders>
              <w:top w:val="single" w:sz="4" w:space="0" w:color="000000" w:themeColor="text1"/>
              <w:bottom w:val="single" w:sz="4" w:space="0" w:color="000000" w:themeColor="text1"/>
            </w:tcBorders>
            <w:vAlign w:val="center"/>
          </w:tcPr>
          <w:p w:rsidR="003E60A5" w:rsidRDefault="003E60A5" w:rsidP="003E60A5">
            <w:pPr>
              <w:spacing w:before="240" w:after="120"/>
              <w:jc w:val="both"/>
              <w:rPr>
                <w:rFonts w:ascii="Times New Roman" w:hAnsi="Times New Roman" w:cs="Times New Roman"/>
                <w:lang w:val="en-US"/>
              </w:rPr>
            </w:pPr>
            <w:proofErr w:type="spellStart"/>
            <w:r>
              <w:rPr>
                <w:rFonts w:ascii="Times New Roman" w:hAnsi="Times New Roman" w:cs="Times New Roman"/>
                <w:lang w:val="en-US"/>
              </w:rPr>
              <w:t>Noviy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Knigniy</w:t>
            </w:r>
            <w:proofErr w:type="spellEnd"/>
            <w:r>
              <w:rPr>
                <w:rFonts w:ascii="Times New Roman" w:hAnsi="Times New Roman" w:cs="Times New Roman"/>
                <w:lang w:val="en-US"/>
              </w:rPr>
              <w:t>, Lease and Development Department, Manager</w:t>
            </w:r>
          </w:p>
        </w:tc>
      </w:tr>
      <w:tr w:rsidR="003E60A5" w:rsidRPr="008B6FB3" w:rsidTr="000D0993">
        <w:tc>
          <w:tcPr>
            <w:tcW w:w="2802" w:type="dxa"/>
            <w:tcBorders>
              <w:top w:val="single" w:sz="4" w:space="0" w:color="000000" w:themeColor="text1"/>
              <w:bottom w:val="single" w:sz="4" w:space="0" w:color="000000" w:themeColor="text1"/>
            </w:tcBorders>
            <w:vAlign w:val="center"/>
          </w:tcPr>
          <w:p w:rsidR="003E60A5" w:rsidRPr="003B5BCE" w:rsidRDefault="003E60A5" w:rsidP="003E60A5">
            <w:pPr>
              <w:spacing w:before="240" w:after="120"/>
              <w:jc w:val="both"/>
              <w:rPr>
                <w:rFonts w:ascii="Times New Roman" w:hAnsi="Times New Roman" w:cs="Times New Roman"/>
                <w:i/>
                <w:lang w:val="en-US"/>
              </w:rPr>
            </w:pPr>
            <w:r w:rsidRPr="003B5BCE">
              <w:rPr>
                <w:rFonts w:ascii="Times New Roman" w:hAnsi="Times New Roman" w:cs="Times New Roman"/>
                <w:i/>
                <w:lang w:val="en-US"/>
              </w:rPr>
              <w:t>Responsibilities</w:t>
            </w:r>
          </w:p>
        </w:tc>
        <w:tc>
          <w:tcPr>
            <w:tcW w:w="6769" w:type="dxa"/>
            <w:tcBorders>
              <w:top w:val="single" w:sz="4" w:space="0" w:color="000000" w:themeColor="text1"/>
              <w:bottom w:val="single" w:sz="4" w:space="0" w:color="000000" w:themeColor="text1"/>
            </w:tcBorders>
            <w:vAlign w:val="center"/>
          </w:tcPr>
          <w:p w:rsidR="003E60A5"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search</w:t>
            </w:r>
            <w:r w:rsidR="006E57A7">
              <w:rPr>
                <w:rFonts w:ascii="Times New Roman" w:hAnsi="Times New Roman" w:cs="Times New Roman"/>
                <w:lang w:val="en-US"/>
              </w:rPr>
              <w:t xml:space="preserve"> for a</w:t>
            </w:r>
            <w:r>
              <w:rPr>
                <w:rFonts w:ascii="Times New Roman" w:hAnsi="Times New Roman" w:cs="Times New Roman"/>
                <w:lang w:val="en-US"/>
              </w:rPr>
              <w:t xml:space="preserve"> suitable property for a shop</w:t>
            </w:r>
            <w:r w:rsidR="006E57A7">
              <w:rPr>
                <w:rFonts w:ascii="Times New Roman" w:hAnsi="Times New Roman" w:cs="Times New Roman"/>
                <w:lang w:val="en-US"/>
              </w:rPr>
              <w:t>;</w:t>
            </w:r>
          </w:p>
          <w:p w:rsidR="006E57A7" w:rsidRDefault="003E60A5" w:rsidP="006E57A7">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preparing photos, financial models and other documents for Investment Committees</w:t>
            </w:r>
            <w:r w:rsidR="006E57A7">
              <w:rPr>
                <w:rFonts w:ascii="Times New Roman" w:hAnsi="Times New Roman" w:cs="Times New Roman"/>
                <w:lang w:val="en-US"/>
              </w:rPr>
              <w:t>;</w:t>
            </w:r>
          </w:p>
          <w:p w:rsidR="003E60A5" w:rsidRPr="005C5A6A" w:rsidRDefault="003E60A5" w:rsidP="006E57A7">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negotiating under the lease agreements with the leasers and inside the company</w:t>
            </w:r>
          </w:p>
        </w:tc>
      </w:tr>
      <w:tr w:rsidR="003E60A5" w:rsidRPr="008B6FB3" w:rsidTr="000D0993">
        <w:tc>
          <w:tcPr>
            <w:tcW w:w="2802" w:type="dxa"/>
            <w:tcBorders>
              <w:top w:val="single" w:sz="4" w:space="0" w:color="000000" w:themeColor="text1"/>
              <w:bottom w:val="single" w:sz="4" w:space="0" w:color="000000" w:themeColor="text1"/>
            </w:tcBorders>
            <w:vAlign w:val="center"/>
          </w:tcPr>
          <w:p w:rsidR="003E60A5" w:rsidRPr="003B5BCE" w:rsidRDefault="003E60A5" w:rsidP="003E60A5">
            <w:pPr>
              <w:spacing w:before="240" w:after="120"/>
              <w:jc w:val="both"/>
              <w:rPr>
                <w:rFonts w:ascii="Times New Roman" w:hAnsi="Times New Roman" w:cs="Times New Roman"/>
                <w:i/>
                <w:lang w:val="en-US"/>
              </w:rPr>
            </w:pPr>
            <w:r>
              <w:rPr>
                <w:rFonts w:ascii="Times New Roman" w:hAnsi="Times New Roman" w:cs="Times New Roman"/>
                <w:i/>
                <w:lang w:val="en-US"/>
              </w:rPr>
              <w:lastRenderedPageBreak/>
              <w:t>Main achievements</w:t>
            </w:r>
          </w:p>
        </w:tc>
        <w:tc>
          <w:tcPr>
            <w:tcW w:w="6769" w:type="dxa"/>
            <w:tcBorders>
              <w:top w:val="single" w:sz="4" w:space="0" w:color="000000" w:themeColor="text1"/>
              <w:bottom w:val="single" w:sz="4" w:space="0" w:color="000000" w:themeColor="text1"/>
            </w:tcBorders>
            <w:vAlign w:val="center"/>
          </w:tcPr>
          <w:p w:rsidR="003E60A5" w:rsidRDefault="003E60A5" w:rsidP="003E60A5">
            <w:pPr>
              <w:pStyle w:val="a7"/>
              <w:numPr>
                <w:ilvl w:val="0"/>
                <w:numId w:val="1"/>
              </w:numPr>
              <w:spacing w:before="240" w:after="120"/>
              <w:ind w:left="318"/>
              <w:jc w:val="both"/>
              <w:rPr>
                <w:rFonts w:ascii="Times New Roman" w:hAnsi="Times New Roman" w:cs="Times New Roman"/>
                <w:lang w:val="en-US"/>
              </w:rPr>
            </w:pPr>
            <w:r>
              <w:rPr>
                <w:rFonts w:ascii="Times New Roman" w:hAnsi="Times New Roman" w:cs="Times New Roman"/>
                <w:lang w:val="en-US"/>
              </w:rPr>
              <w:t xml:space="preserve">part of the team which achieved the goal “50 in one year” – 50 books stores were opened during one year (in 2009 the chain consisted from </w:t>
            </w:r>
            <w:proofErr w:type="spellStart"/>
            <w:r>
              <w:rPr>
                <w:rFonts w:ascii="Times New Roman" w:hAnsi="Times New Roman" w:cs="Times New Roman"/>
                <w:lang w:val="en-US"/>
              </w:rPr>
              <w:t>aprx</w:t>
            </w:r>
            <w:proofErr w:type="spellEnd"/>
            <w:r>
              <w:rPr>
                <w:rFonts w:ascii="Times New Roman" w:hAnsi="Times New Roman" w:cs="Times New Roman"/>
                <w:lang w:val="en-US"/>
              </w:rPr>
              <w:t xml:space="preserve"> 100 stores)</w:t>
            </w:r>
          </w:p>
        </w:tc>
      </w:tr>
      <w:tr w:rsidR="003E60A5" w:rsidRPr="008B6FB3" w:rsidTr="000D0993">
        <w:tc>
          <w:tcPr>
            <w:tcW w:w="2802" w:type="dxa"/>
            <w:tcBorders>
              <w:top w:val="single" w:sz="4" w:space="0" w:color="000000" w:themeColor="text1"/>
            </w:tcBorders>
            <w:vAlign w:val="center"/>
          </w:tcPr>
          <w:p w:rsidR="003E60A5" w:rsidRPr="003B5BCE" w:rsidRDefault="003E60A5" w:rsidP="003E60A5">
            <w:pPr>
              <w:spacing w:before="240" w:after="120"/>
              <w:jc w:val="both"/>
              <w:rPr>
                <w:rFonts w:ascii="Times New Roman" w:hAnsi="Times New Roman" w:cs="Times New Roman"/>
                <w:i/>
                <w:lang w:val="en-US"/>
              </w:rPr>
            </w:pPr>
            <w:r w:rsidRPr="005C5A6A">
              <w:rPr>
                <w:rFonts w:ascii="Times New Roman" w:hAnsi="Times New Roman" w:cs="Times New Roman"/>
                <w:b/>
                <w:lang w:val="en-US"/>
              </w:rPr>
              <w:t>Additional information</w:t>
            </w:r>
          </w:p>
        </w:tc>
        <w:tc>
          <w:tcPr>
            <w:tcW w:w="6769" w:type="dxa"/>
            <w:tcBorders>
              <w:top w:val="single" w:sz="4" w:space="0" w:color="000000" w:themeColor="text1"/>
            </w:tcBorders>
            <w:vAlign w:val="center"/>
          </w:tcPr>
          <w:p w:rsidR="003E60A5" w:rsidRPr="00063DAC" w:rsidRDefault="003E60A5" w:rsidP="003E60A5">
            <w:pPr>
              <w:pStyle w:val="a7"/>
              <w:numPr>
                <w:ilvl w:val="0"/>
                <w:numId w:val="1"/>
              </w:numPr>
              <w:spacing w:before="240" w:after="120"/>
              <w:ind w:left="317"/>
              <w:jc w:val="both"/>
              <w:rPr>
                <w:rFonts w:ascii="Times New Roman" w:hAnsi="Times New Roman" w:cs="Times New Roman"/>
                <w:lang w:val="en-US"/>
              </w:rPr>
            </w:pPr>
            <w:r w:rsidRPr="00063DAC">
              <w:rPr>
                <w:rFonts w:ascii="Times New Roman" w:hAnsi="Times New Roman" w:cs="Times New Roman"/>
                <w:lang w:val="en-US"/>
              </w:rPr>
              <w:t>Strong communication skills</w:t>
            </w:r>
            <w:r w:rsidR="006E57A7">
              <w:rPr>
                <w:rFonts w:ascii="Times New Roman" w:hAnsi="Times New Roman" w:cs="Times New Roman"/>
                <w:lang w:val="en-US"/>
              </w:rPr>
              <w:t>;</w:t>
            </w:r>
          </w:p>
          <w:p w:rsidR="003E60A5" w:rsidRPr="00063DAC" w:rsidRDefault="003E60A5" w:rsidP="003E60A5">
            <w:pPr>
              <w:pStyle w:val="a7"/>
              <w:numPr>
                <w:ilvl w:val="0"/>
                <w:numId w:val="1"/>
              </w:numPr>
              <w:spacing w:before="240" w:after="120"/>
              <w:ind w:left="317"/>
              <w:jc w:val="both"/>
              <w:rPr>
                <w:rFonts w:ascii="Times New Roman" w:hAnsi="Times New Roman" w:cs="Times New Roman"/>
                <w:lang w:val="en-US"/>
              </w:rPr>
            </w:pPr>
            <w:r w:rsidRPr="00063DAC">
              <w:rPr>
                <w:rFonts w:ascii="Times New Roman" w:hAnsi="Times New Roman" w:cs="Times New Roman"/>
                <w:lang w:val="en-US"/>
              </w:rPr>
              <w:t>Accurate attitude to risk assessment</w:t>
            </w:r>
            <w:r w:rsidR="006E57A7">
              <w:rPr>
                <w:rFonts w:ascii="Times New Roman" w:hAnsi="Times New Roman" w:cs="Times New Roman"/>
                <w:lang w:val="en-US"/>
              </w:rPr>
              <w:t>;</w:t>
            </w:r>
          </w:p>
          <w:p w:rsidR="003E60A5" w:rsidRPr="00063DAC" w:rsidRDefault="003E60A5" w:rsidP="003E60A5">
            <w:pPr>
              <w:pStyle w:val="a7"/>
              <w:numPr>
                <w:ilvl w:val="0"/>
                <w:numId w:val="1"/>
              </w:numPr>
              <w:spacing w:before="240" w:after="120"/>
              <w:ind w:left="317"/>
              <w:jc w:val="both"/>
              <w:rPr>
                <w:rFonts w:ascii="Times New Roman" w:hAnsi="Times New Roman" w:cs="Times New Roman"/>
                <w:lang w:val="en-US"/>
              </w:rPr>
            </w:pPr>
            <w:r w:rsidRPr="00063DAC">
              <w:rPr>
                <w:rFonts w:ascii="Times New Roman" w:hAnsi="Times New Roman" w:cs="Times New Roman"/>
                <w:lang w:val="en-US"/>
              </w:rPr>
              <w:t>Hard worker</w:t>
            </w:r>
            <w:r w:rsidR="006E57A7">
              <w:rPr>
                <w:rFonts w:ascii="Times New Roman" w:hAnsi="Times New Roman" w:cs="Times New Roman"/>
                <w:lang w:val="en-US"/>
              </w:rPr>
              <w:t>;</w:t>
            </w:r>
          </w:p>
          <w:p w:rsidR="003E60A5" w:rsidRPr="00063DAC" w:rsidRDefault="003E60A5" w:rsidP="003E60A5">
            <w:pPr>
              <w:pStyle w:val="a7"/>
              <w:numPr>
                <w:ilvl w:val="0"/>
                <w:numId w:val="1"/>
              </w:numPr>
              <w:spacing w:before="240" w:after="120"/>
              <w:ind w:left="317"/>
              <w:jc w:val="both"/>
              <w:rPr>
                <w:rFonts w:ascii="Times New Roman" w:hAnsi="Times New Roman" w:cs="Times New Roman"/>
                <w:lang w:val="en-US"/>
              </w:rPr>
            </w:pPr>
            <w:r w:rsidRPr="00063DAC">
              <w:rPr>
                <w:rFonts w:ascii="Times New Roman" w:hAnsi="Times New Roman" w:cs="Times New Roman"/>
                <w:lang w:val="en-US"/>
              </w:rPr>
              <w:t>Open and quick minded</w:t>
            </w:r>
            <w:r w:rsidR="006E57A7">
              <w:rPr>
                <w:rFonts w:ascii="Times New Roman" w:hAnsi="Times New Roman" w:cs="Times New Roman"/>
                <w:lang w:val="en-US"/>
              </w:rPr>
              <w:t>;</w:t>
            </w:r>
          </w:p>
          <w:p w:rsidR="003E60A5" w:rsidRDefault="003E60A5" w:rsidP="003E60A5">
            <w:pPr>
              <w:pStyle w:val="a7"/>
              <w:numPr>
                <w:ilvl w:val="0"/>
                <w:numId w:val="1"/>
              </w:numPr>
              <w:spacing w:before="240" w:after="120"/>
              <w:ind w:left="317"/>
              <w:jc w:val="both"/>
              <w:rPr>
                <w:rFonts w:ascii="Times New Roman" w:hAnsi="Times New Roman" w:cs="Times New Roman"/>
                <w:lang w:val="en-US"/>
              </w:rPr>
            </w:pPr>
            <w:r w:rsidRPr="00063DAC">
              <w:rPr>
                <w:rFonts w:ascii="Times New Roman" w:hAnsi="Times New Roman" w:cs="Times New Roman"/>
                <w:lang w:val="en-US"/>
              </w:rPr>
              <w:t xml:space="preserve">Significant experience in the </w:t>
            </w:r>
            <w:r w:rsidR="006E57A7">
              <w:rPr>
                <w:rFonts w:ascii="Times New Roman" w:hAnsi="Times New Roman" w:cs="Times New Roman"/>
                <w:lang w:val="en-US"/>
              </w:rPr>
              <w:t>structured transactions;</w:t>
            </w:r>
          </w:p>
          <w:p w:rsidR="003E60A5" w:rsidRPr="00063DAC" w:rsidRDefault="006E57A7" w:rsidP="003E60A5">
            <w:pPr>
              <w:pStyle w:val="a7"/>
              <w:numPr>
                <w:ilvl w:val="0"/>
                <w:numId w:val="1"/>
              </w:numPr>
              <w:spacing w:before="240" w:after="120"/>
              <w:ind w:left="317"/>
              <w:jc w:val="both"/>
              <w:rPr>
                <w:rFonts w:ascii="Times New Roman" w:hAnsi="Times New Roman" w:cs="Times New Roman"/>
                <w:lang w:val="en-US"/>
              </w:rPr>
            </w:pPr>
            <w:r>
              <w:rPr>
                <w:rFonts w:ascii="Times New Roman" w:hAnsi="Times New Roman" w:cs="Times New Roman"/>
                <w:lang w:val="en-US"/>
              </w:rPr>
              <w:t>Good relations with key people in corporates, family offices and international and domestic banks;</w:t>
            </w:r>
          </w:p>
          <w:p w:rsidR="003E60A5" w:rsidRPr="00063DAC" w:rsidRDefault="003E60A5" w:rsidP="003E60A5">
            <w:pPr>
              <w:pStyle w:val="a7"/>
              <w:numPr>
                <w:ilvl w:val="0"/>
                <w:numId w:val="1"/>
              </w:numPr>
              <w:spacing w:before="240" w:after="120"/>
              <w:ind w:left="317"/>
              <w:jc w:val="both"/>
              <w:rPr>
                <w:rFonts w:ascii="Times New Roman" w:hAnsi="Times New Roman" w:cs="Times New Roman"/>
                <w:lang w:val="en-US"/>
              </w:rPr>
            </w:pPr>
            <w:r w:rsidRPr="00063DAC">
              <w:rPr>
                <w:rFonts w:ascii="Times New Roman" w:hAnsi="Times New Roman" w:cs="Times New Roman"/>
                <w:lang w:val="en-US"/>
              </w:rPr>
              <w:t>Active squash and tennis player</w:t>
            </w:r>
          </w:p>
        </w:tc>
      </w:tr>
    </w:tbl>
    <w:p w:rsidR="000075DB" w:rsidRDefault="00F738F0" w:rsidP="00DD2711">
      <w:pPr>
        <w:jc w:val="both"/>
        <w:rPr>
          <w:rFonts w:ascii="Times New Roman" w:hAnsi="Times New Roman" w:cs="Times New Roman"/>
          <w:lang w:val="en-US"/>
        </w:rPr>
      </w:pPr>
      <w:r>
        <w:rPr>
          <w:rFonts w:ascii="Times New Roman" w:hAnsi="Times New Roman" w:cs="Times New Roman"/>
          <w:b/>
          <w:lang w:val="en-US"/>
        </w:rPr>
        <w:tab/>
      </w:r>
    </w:p>
    <w:p w:rsidR="00F738F0" w:rsidRPr="001E3B8E" w:rsidRDefault="00F738F0" w:rsidP="00DD2711">
      <w:pPr>
        <w:jc w:val="both"/>
        <w:rPr>
          <w:rFonts w:ascii="Times New Roman" w:hAnsi="Times New Roman" w:cs="Times New Roman"/>
          <w:lang w:val="en-US"/>
        </w:rPr>
      </w:pPr>
    </w:p>
    <w:p w:rsidR="001E3B8E" w:rsidRPr="001E3B8E" w:rsidRDefault="001E3B8E" w:rsidP="00DD2711">
      <w:pPr>
        <w:jc w:val="both"/>
        <w:rPr>
          <w:rFonts w:ascii="Times New Roman" w:hAnsi="Times New Roman" w:cs="Times New Roman"/>
          <w:lang w:val="en-US"/>
        </w:rPr>
      </w:pPr>
      <w:bookmarkStart w:id="0" w:name="_GoBack"/>
      <w:bookmarkEnd w:id="0"/>
    </w:p>
    <w:sectPr w:rsidR="001E3B8E" w:rsidRPr="001E3B8E" w:rsidSect="00921C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altName w:val="Arial"/>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92B"/>
    <w:multiLevelType w:val="hybridMultilevel"/>
    <w:tmpl w:val="61789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31D0"/>
    <w:rsid w:val="00003A35"/>
    <w:rsid w:val="000075DB"/>
    <w:rsid w:val="00063DAC"/>
    <w:rsid w:val="00082AEE"/>
    <w:rsid w:val="00084DE6"/>
    <w:rsid w:val="000D0993"/>
    <w:rsid w:val="00174120"/>
    <w:rsid w:val="00176C4F"/>
    <w:rsid w:val="001A7400"/>
    <w:rsid w:val="001E3B8E"/>
    <w:rsid w:val="00227BBD"/>
    <w:rsid w:val="00261CA0"/>
    <w:rsid w:val="002F67DE"/>
    <w:rsid w:val="003B5BCE"/>
    <w:rsid w:val="003E60A5"/>
    <w:rsid w:val="004565EE"/>
    <w:rsid w:val="004B5474"/>
    <w:rsid w:val="00520033"/>
    <w:rsid w:val="005337E3"/>
    <w:rsid w:val="005B33C8"/>
    <w:rsid w:val="005C5A6A"/>
    <w:rsid w:val="006548B4"/>
    <w:rsid w:val="00692C78"/>
    <w:rsid w:val="006D4B05"/>
    <w:rsid w:val="006E50C4"/>
    <w:rsid w:val="006E57A7"/>
    <w:rsid w:val="00713CDB"/>
    <w:rsid w:val="008B6FB3"/>
    <w:rsid w:val="008C3B36"/>
    <w:rsid w:val="00901361"/>
    <w:rsid w:val="00921C32"/>
    <w:rsid w:val="00A038B9"/>
    <w:rsid w:val="00A231D0"/>
    <w:rsid w:val="00A65875"/>
    <w:rsid w:val="00A97A50"/>
    <w:rsid w:val="00B25743"/>
    <w:rsid w:val="00B26465"/>
    <w:rsid w:val="00B561DA"/>
    <w:rsid w:val="00CF3650"/>
    <w:rsid w:val="00D04A1E"/>
    <w:rsid w:val="00D20712"/>
    <w:rsid w:val="00D27683"/>
    <w:rsid w:val="00D400E5"/>
    <w:rsid w:val="00D916A2"/>
    <w:rsid w:val="00DD2711"/>
    <w:rsid w:val="00DF2B7C"/>
    <w:rsid w:val="00E1448D"/>
    <w:rsid w:val="00EB5E1A"/>
    <w:rsid w:val="00ED62B6"/>
    <w:rsid w:val="00F30D4A"/>
    <w:rsid w:val="00F738F0"/>
    <w:rsid w:val="00F768E0"/>
    <w:rsid w:val="00FA6CCA"/>
    <w:rsid w:val="00FC311E"/>
    <w:rsid w:val="00FF7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A68C"/>
  <w15:docId w15:val="{AF1A06AC-B4E6-478C-B277-4A985407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d1">
    <w:name w:val="red1"/>
    <w:basedOn w:val="a0"/>
    <w:rsid w:val="00A231D0"/>
    <w:rPr>
      <w:color w:val="E20203"/>
    </w:rPr>
  </w:style>
  <w:style w:type="paragraph" w:styleId="a3">
    <w:name w:val="Balloon Text"/>
    <w:basedOn w:val="a"/>
    <w:link w:val="a4"/>
    <w:uiPriority w:val="99"/>
    <w:semiHidden/>
    <w:unhideWhenUsed/>
    <w:rsid w:val="00A231D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231D0"/>
    <w:rPr>
      <w:rFonts w:ascii="Tahoma" w:hAnsi="Tahoma" w:cs="Tahoma"/>
      <w:sz w:val="16"/>
      <w:szCs w:val="16"/>
    </w:rPr>
  </w:style>
  <w:style w:type="character" w:styleId="a5">
    <w:name w:val="Hyperlink"/>
    <w:basedOn w:val="a0"/>
    <w:uiPriority w:val="99"/>
    <w:unhideWhenUsed/>
    <w:rsid w:val="00F738F0"/>
    <w:rPr>
      <w:color w:val="0000FF" w:themeColor="hyperlink"/>
      <w:u w:val="single"/>
    </w:rPr>
  </w:style>
  <w:style w:type="table" w:styleId="a6">
    <w:name w:val="Table Grid"/>
    <w:basedOn w:val="a1"/>
    <w:uiPriority w:val="59"/>
    <w:rsid w:val="001E3B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3B5BCE"/>
    <w:pPr>
      <w:ind w:left="720"/>
      <w:contextualSpacing/>
    </w:pPr>
  </w:style>
  <w:style w:type="character" w:styleId="a8">
    <w:name w:val="Unresolved Mention"/>
    <w:basedOn w:val="a0"/>
    <w:uiPriority w:val="99"/>
    <w:semiHidden/>
    <w:unhideWhenUsed/>
    <w:rsid w:val="003E6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kurovicha@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2603</TotalTime>
  <Pages>3</Pages>
  <Words>704</Words>
  <Characters>4014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Anton shkurovich</cp:lastModifiedBy>
  <cp:revision>14</cp:revision>
  <dcterms:created xsi:type="dcterms:W3CDTF">2015-10-23T14:42:00Z</dcterms:created>
  <dcterms:modified xsi:type="dcterms:W3CDTF">2018-12-02T15:21:00Z</dcterms:modified>
</cp:coreProperties>
</file>