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lang w:val="ru-RU"/>
        </w:rPr>
        <w:t>I. Спецификации</w:t>
      </w: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rtl w:val="off"/>
          <w:lang w:val="en-US"/>
        </w:rPr>
        <w:t xml:space="preserve"> технологий 100Base-TX, 100Base-FX, 100Base-T4, 100Base-T, 100Base-F: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1. 100Base-TX</w:t>
      </w:r>
    </w:p>
    <w:p w14:paraId="00000004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Описание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Использует витую пару категории 5 (или выше).</w:t>
      </w:r>
    </w:p>
    <w:p w14:paraId="00000005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Медиум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Два провода витой пары (один для передачи, один для приёма).</w:t>
      </w:r>
    </w:p>
    <w:p w14:paraId="00000006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Длина сегмента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До 100 метров.</w:t>
      </w:r>
    </w:p>
    <w:p w14:paraId="00000007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Кодирование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4B/5B с MLT-3.</w:t>
      </w:r>
    </w:p>
    <w:p w14:paraId="00000008">
      <w:pPr>
        <w:framePr w:w="0" w:h="0" w:vAnchor="margin" w:hAnchor="text" w:x="0" w:y="0"/>
        <w:numPr>
          <w:ilvl w:val="0"/>
          <w:numId w:val="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Применение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Широко используется в корпоративных сетях благодаря простоте и доступности оборудования.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  <w:t>*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 xml:space="preserve">Медиум -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среда передачи данных, которая используется для связи между устройствами.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2. 100Base-FX</w:t>
      </w:r>
    </w:p>
    <w:p w14:paraId="0000000D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Описание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Передача данных по оптоволоконным кабелям.</w:t>
      </w:r>
    </w:p>
    <w:p w14:paraId="0000000E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Медиум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Многомодовое оптоволокно.</w:t>
      </w:r>
    </w:p>
    <w:p w14:paraId="0000000F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Длина сегмента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До 400 метров (полудуплекс) или 2 километров (полный дуплекс).</w:t>
      </w:r>
    </w:p>
    <w:p w14:paraId="00000010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Кодирование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4B/5B с NRZI.</w:t>
      </w:r>
    </w:p>
    <w:p w14:paraId="00000011">
      <w:pPr>
        <w:framePr w:w="0" w:h="0" w:vAnchor="margin" w:hAnchor="text" w:x="0" w:y="0"/>
        <w:numPr>
          <w:ilvl w:val="0"/>
          <w:numId w:val="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Применение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Сети с высокой помехозащищённостью или для соединения зданий на больших расстояниях.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3. 100Base-T4</w:t>
      </w:r>
    </w:p>
    <w:p w14:paraId="00000014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Описание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Разработана для передачи по витой паре категории 3.</w:t>
      </w:r>
    </w:p>
    <w:p w14:paraId="00000015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Медиум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Четыре пары витой пары.</w:t>
      </w:r>
    </w:p>
    <w:p w14:paraId="00000016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Длина сегмента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До 100 метров.</w:t>
      </w:r>
    </w:p>
    <w:p w14:paraId="00000017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Кодирование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8B/6T.</w:t>
      </w:r>
    </w:p>
    <w:p w14:paraId="00000018">
      <w:pPr>
        <w:framePr w:w="0" w:h="0" w:vAnchor="margin" w:hAnchor="text" w:x="0" w:y="0"/>
        <w:numPr>
          <w:ilvl w:val="0"/>
          <w:numId w:val="4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Примечание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Использует 3 пары для передачи и 1 пару для обратного канала. Устарела и вытеснена 100Base-TX.</w:t>
      </w:r>
    </w:p>
    <w:p w14:paraId="0000001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</w:pP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4. 100Base-T</w:t>
      </w:r>
    </w:p>
    <w:p w14:paraId="0000001B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Описание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Обобщённый стандарт для всех видов передачи данных по витой паре.</w:t>
      </w:r>
    </w:p>
    <w:p w14:paraId="0000001C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Медиум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Поддерживает различные типы витой пары (например, категория 3, 5 и выше).</w:t>
      </w:r>
    </w:p>
    <w:p w14:paraId="0000001D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Кодирование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Зависит от варианта (T4, TX и пр.).</w:t>
      </w:r>
    </w:p>
    <w:p w14:paraId="0000001E">
      <w:pPr>
        <w:framePr w:w="0" w:h="0" w:vAnchor="margin" w:hAnchor="text" w:x="0" w:y="0"/>
        <w:numPr>
          <w:ilvl w:val="0"/>
          <w:numId w:val="5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Примечание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Сам по себе термин "100Base-T" обычно уточняется конкретным подтипом, например, TX или T4.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</w:pP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5. 100Base-F</w:t>
      </w:r>
    </w:p>
    <w:p w14:paraId="00000021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Описание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Обобщённый стандарт для передачи по оптоволокну.</w:t>
      </w:r>
    </w:p>
    <w:p w14:paraId="00000022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Медиум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Оптоволоконные кабели.</w:t>
      </w:r>
    </w:p>
    <w:p w14:paraId="00000023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Длина сегмента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Зависит от физической реализации (например, FX).</w:t>
      </w:r>
    </w:p>
    <w:p w14:paraId="00000024">
      <w:pPr>
        <w:framePr w:w="0" w:h="0" w:vAnchor="margin" w:hAnchor="text" w:x="0" w:y="0"/>
        <w:numPr>
          <w:ilvl w:val="0"/>
          <w:numId w:val="6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Примечание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: Как и "100Base-T", уточняется подтипом, например, FX.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rtl w:val="off"/>
          <w:lang w:val="en-US"/>
        </w:rPr>
        <w:t xml:space="preserve">II. </w:t>
      </w: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rtl w:val="off"/>
          <w:lang w:val="ru-RU"/>
        </w:rPr>
        <w:t>С</w:t>
      </w: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rtl w:val="off"/>
          <w:lang w:val="en-US"/>
        </w:rPr>
        <w:t>пецификации Ethernet</w:t>
      </w: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rtl w:val="off"/>
          <w:lang w:val="en-US"/>
        </w:rPr>
        <w:t>2.5 Gpps, 5 Gbps, 10 Gbps:</w:t>
      </w: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rtl w:val="off"/>
          <w:lang w:val="en-US"/>
        </w:rPr>
        <w:t xml:space="preserve"> 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1. Ethernet 2.5 Gbps (2.5GBASE-T)</w:t>
      </w:r>
    </w:p>
    <w:p w14:paraId="00000029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Тип кабеля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Cat 5e (или выше).</w:t>
      </w:r>
    </w:p>
    <w:p w14:paraId="0000002A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Максимальная длина кабеля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До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100 метров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 на витой паре Cat 5e (при хорошем качестве кабеля и соединений).</w:t>
      </w:r>
    </w:p>
    <w:p w14:paraId="0000002B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Пары для передачи данных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Используются все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четыре пары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 проводов (4 пары по 2 провода).</w:t>
      </w:r>
    </w:p>
    <w:p w14:paraId="0000002C">
      <w:pPr>
        <w:framePr w:w="0" w:h="0" w:vAnchor="margin" w:hAnchor="text" w:x="0" w:y="0"/>
        <w:numPr>
          <w:ilvl w:val="0"/>
          <w:numId w:val="1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Метод кодирования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PAM-16 (16-уровневое кодирование с амплитудной модуляцией).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Стандарт обеспечивает более эффективное использование полосы пропускания, позволяя адаптироваться к более старым кабелям.</w:t>
      </w: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2. Ethernet 5 Gbps (5GBASE-T)</w:t>
      </w:r>
    </w:p>
    <w:p w14:paraId="0000002F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Тип кабеля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Cat 5e (на коротких расстояниях) или Cat 6 (рекомендуется для максимальной длины).</w:t>
      </w:r>
    </w:p>
    <w:p w14:paraId="00000030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Максимальная длина кабеля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До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100 метров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на витой паре Cat 6.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Для Cat 5e длина может быть ограничена примерно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50-55 метрами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, в зависимости от условий среды и качества кабеля.</w:t>
      </w:r>
    </w:p>
    <w:p w14:paraId="00000031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Пары для передачи данных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Используются все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четыре пары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 проводов.</w:t>
      </w:r>
    </w:p>
    <w:p w14:paraId="00000032">
      <w:pPr>
        <w:framePr w:w="0" w:h="0" w:vAnchor="margin" w:hAnchor="text" w:x="0" w:y="0"/>
        <w:numPr>
          <w:ilvl w:val="0"/>
          <w:numId w:val="1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Метод кодирования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PAM-16, аналогично 2.5GBASE-T.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3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3. Ethernet 10 Gbps (10GBASE-T)</w:t>
      </w:r>
    </w:p>
    <w:p w14:paraId="00000035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Тип кабеля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Cat 6A (рекомендуется) или Cat 6 (для коротких расстояний).</w:t>
      </w:r>
    </w:p>
    <w:p w14:paraId="00000036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Максимальная длина кабеля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100 метров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 на витой паре Cat 6A.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На Cat 6 длина ограничена до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55 метров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,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 если есть сильные перекрестные помехи.</w:t>
      </w:r>
    </w:p>
    <w:p w14:paraId="00000037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Пары для передачи данных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Используются все 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четыре пары</w:t>
      </w:r>
      <w:r>
        <w:rPr>
          <w:rFonts w:ascii="Times New Roman" w:cs="Times New Roman" w:hAnsi="Times New Roman"/>
          <w:b w:val="off"/>
          <w:bCs w:val="off"/>
          <w:color w:val="000000" w:themeColor="dk1"/>
          <w:sz w:val="32"/>
          <w:szCs w:val="32"/>
          <w:rtl w:val="off"/>
          <w:lang w:val="en-US"/>
        </w:rPr>
        <w:t>.</w:t>
      </w:r>
    </w:p>
    <w:p w14:paraId="00000038">
      <w:pPr>
        <w:framePr w:w="0" w:h="0" w:vAnchor="margin" w:hAnchor="text" w:x="0" w:y="0"/>
        <w:numPr>
          <w:ilvl w:val="0"/>
          <w:numId w:val="13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color w:val="000000" w:themeColor="dk1"/>
          <w:sz w:val="32"/>
          <w:szCs w:val="32"/>
          <w:rtl w:val="off"/>
          <w:lang w:val="en-US"/>
        </w:rPr>
        <w:t>Метод кодирования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: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 xml:space="preserve">PAM-16 с более высокой полосой пропускания. </w:t>
      </w:r>
      <w:r>
        <w:rPr>
          <w:rFonts w:ascii="Times New Roman" w:cs="Times New Roman" w:hAnsi="Times New Roman"/>
          <w:color w:val="000000" w:themeColor="dk1"/>
          <w:sz w:val="32"/>
          <w:szCs w:val="32"/>
          <w:rtl w:val="off"/>
          <w:lang w:val="en-US"/>
        </w:rPr>
        <w:t>Используется кодирование LDPC (Low-Density Parity-Check) для коррекции ошибок и уменьшения перекрестных помех.</w:t>
      </w:r>
    </w:p>
    <w:p w14:paraId="0000003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76" w:lineRule="auto"/>
        <w:ind w:left="0" w:right="0" w:firstLine="0"/>
        <w:jc w:val="left"/>
        <w:rPr>
          <w:rFonts w:ascii="Times New Roman" w:cs="Times New Roman" w:hAnsi="Times New Roman"/>
          <w:color w:val="000000" w:themeColor="dk1"/>
          <w:sz w:val="32"/>
          <w:szCs w:val="32"/>
          <w:lang w:val="en-US"/>
        </w:rPr>
      </w:pPr>
    </w:p>
    <w:p w14:paraId="0000003A">
      <w:pPr>
        <w:spacing w:line="276"/>
        <w:rPr>
          <w:rFonts w:ascii="Times New Roman" w:cs="Times New Roman" w:hAnsi="Times New Roman"/>
          <w:b/>
          <w:bCs/>
          <w:color w:val="000000" w:themeColor="dk1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lang w:val="en-US"/>
        </w:rPr>
        <w:t xml:space="preserve">III. </w:t>
      </w: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highlight w:val="yellow"/>
          <w:lang w:val="ru-RU"/>
        </w:rPr>
        <w:t>Размеры оптических кабелей:</w:t>
      </w:r>
    </w:p>
    <w:p w14:paraId="0000003B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Размеры оптических кабелей зависят от их конструкции, назначения и типа волокон, которые используются для передачи света.</w:t>
      </w:r>
    </w:p>
    <w:p w14:paraId="0000003C">
      <w:pPr>
        <w:spacing w:line="276"/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ru-RU"/>
        </w:rPr>
        <w:t>1. Диаметр оптического волокна</w:t>
      </w:r>
    </w:p>
    <w:p w14:paraId="0000003D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Оптическое волокно состоит из сердцевины, оболочки и защитного покрытия:</w:t>
      </w:r>
    </w:p>
    <w:p w14:paraId="0000003E">
      <w:pPr>
        <w:numPr>
          <w:ilvl w:val="0"/>
          <w:numId w:val="14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Сердцевина (Core):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ля одномодовых волокон: обычно 8–10 микрон,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ля многомодовых волокон: от 50 до 62,5 микрон.</w:t>
      </w:r>
    </w:p>
    <w:p w14:paraId="0000003F">
      <w:pPr>
        <w:numPr>
          <w:ilvl w:val="0"/>
          <w:numId w:val="15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Оболочка (Cladding): с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тандартный диаметр: 125 микрон.</w:t>
      </w:r>
    </w:p>
    <w:p w14:paraId="00000040">
      <w:pPr>
        <w:numPr>
          <w:ilvl w:val="0"/>
          <w:numId w:val="16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Защитное покрытие (Coating):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обавляет прочности волокну,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иаметр около 250 микрон.</w:t>
      </w:r>
    </w:p>
    <w:p w14:paraId="00000041">
      <w:pPr>
        <w:spacing w:line="276"/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ru-RU"/>
        </w:rPr>
        <w:t>2. Конструкция кабеля</w:t>
      </w:r>
    </w:p>
    <w:p w14:paraId="00000042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В зависимости от количества волокон и дополнительной защиты, оптические кабели имеют разные размеры:</w:t>
      </w:r>
    </w:p>
    <w:p w14:paraId="00000043">
      <w:pPr>
        <w:numPr>
          <w:ilvl w:val="0"/>
          <w:numId w:val="17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Кабели малого размера (одно- или многоволоконные): и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спользуются в помещении (например, FTTH или патч-корды),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иаметр: 1,6–3 мм для одиночного волокна.</w:t>
      </w:r>
    </w:p>
    <w:p w14:paraId="00000044">
      <w:pPr>
        <w:numPr>
          <w:ilvl w:val="0"/>
          <w:numId w:val="18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Кабели для наружной прокладки: и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меют дополнительные элементы защиты (броня, гелевый заполнитель),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иаметр может варьироваться от 5 до 20 мм.</w:t>
      </w:r>
    </w:p>
    <w:p w14:paraId="00000045">
      <w:pPr>
        <w:numPr>
          <w:ilvl w:val="0"/>
          <w:numId w:val="19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Многоволоконные кабели: в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мещают от нескольких до сотен волокон,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иаметр зависит от плотности упаковки: от 10 до 30 мм.</w:t>
      </w:r>
    </w:p>
    <w:p w14:paraId="00000046">
      <w:pPr>
        <w:spacing w:line="276"/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ru-RU"/>
        </w:rPr>
        <w:t>3. Типы оптических кабелей и их размеры</w:t>
      </w:r>
    </w:p>
    <w:p w14:paraId="00000047">
      <w:pPr>
        <w:numPr>
          <w:ilvl w:val="0"/>
          <w:numId w:val="20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Плотные буферные кабели (Tight Buffer): в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олокна покрыты плотным буфером для лучшей защиты, и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спользуются в помещениях,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иаметр: 0,9 мм (буферное покрытие) + внешняя оболочка.</w:t>
      </w:r>
    </w:p>
    <w:p w14:paraId="00000048">
      <w:pPr>
        <w:numPr>
          <w:ilvl w:val="0"/>
          <w:numId w:val="21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Свободно укладываемые кабели (Loose Tube): в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олокна заключены в свободную трубку,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иаметр трубки: около 1,2–2,5 мм, о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бщий диаметр кабеля: от 5 мм и выше.</w:t>
      </w:r>
    </w:p>
    <w:p w14:paraId="00000049">
      <w:pPr>
        <w:numPr>
          <w:ilvl w:val="0"/>
          <w:numId w:val="22"/>
        </w:num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Ленточные кабели (Ribbon Cable): с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одержат множество волокон, объединённых в ленточные модули, к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омпактная упаковка позволяет уменьшить размер, д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иаметр: зависит от количества волокон, обычно от 8 мм.</w:t>
      </w:r>
    </w:p>
    <w:p w14:paraId="0000004A">
      <w:pPr>
        <w:spacing w:line="276"/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b/>
          <w:bCs/>
          <w:color w:val="000000" w:themeColor="dk1"/>
          <w:sz w:val="32"/>
          <w:szCs w:val="32"/>
          <w:lang w:val="ru-RU"/>
        </w:rPr>
        <w:t>4. Влияние внешних факторов</w:t>
      </w:r>
    </w:p>
    <w:p w14:paraId="0000004B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Для кабелей, предназначенных для экстремальных условий (например, подводные или армированные кабели), размеры значительно увеличиваются из-за дополнительных слоёв защиты, б</w:t>
      </w:r>
      <w:r>
        <w:rPr>
          <w:rFonts w:ascii="Times New Roman" w:cs="Times New Roman" w:hAnsi="Times New Roman"/>
          <w:color w:val="000000" w:themeColor="dk1"/>
          <w:sz w:val="32"/>
          <w:szCs w:val="32"/>
          <w:lang w:val="ru-RU"/>
        </w:rPr>
        <w:t>ронированные кабели могут достигать диаметра 50 мм и более.</w:t>
      </w:r>
    </w:p>
    <w:p w14:paraId="0000004C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</w:p>
    <w:p w14:paraId="0000004D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</w:p>
    <w:p w14:paraId="0000004E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</w:p>
    <w:p w14:paraId="0000004F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</w:p>
    <w:p w14:paraId="00000050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</w:p>
    <w:p w14:paraId="00000051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</w:p>
    <w:p w14:paraId="00000052">
      <w:pPr>
        <w:spacing w:line="276"/>
        <w:rPr>
          <w:rFonts w:ascii="Times New Roman" w:cs="Times New Roman" w:hAnsi="Times New Roman"/>
          <w:color w:val="000000" w:themeColor="dk1"/>
          <w:sz w:val="32"/>
          <w:szCs w:val="32"/>
        </w:rPr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1">
      <w:start w:val="1"/>
      <w:numFmt w:val="bullet"/>
      <w:suff w:val="tab"/>
      <w:lvlText w:val=""/>
      <w:lvlJc w:val="left"/>
      <w:pPr>
        <w:ind w:left="720" w:hanging="360"/>
      </w:pPr>
      <w:rPr/>
    </w:lvl>
    <w:lvl w:ilvl="1" w:tentative="1">
      <w:start w:val="1"/>
      <w:numFmt w:val="bullet"/>
      <w:suff w:val="tab"/>
      <w:lvlText w:val=""/>
      <w:lvlJc w:val="left"/>
      <w:pPr>
        <w:ind w:left="1440" w:hanging="360"/>
      </w:pPr>
      <w:rPr/>
    </w:lvl>
    <w:lvl w:ilvl="2" w:tentative="1">
      <w:start w:val="1"/>
      <w:numFmt w:val="decimal"/>
      <w:suff w:val="tab"/>
      <w:lvlText w:val="%3."/>
      <w:lvlJc w:val="left"/>
      <w:pPr>
        <w:ind w:left="2160" w:hanging="36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decimal"/>
      <w:suff w:val="tab"/>
      <w:lvlText w:val="%6."/>
      <w:lvlJc w:val="left"/>
      <w:pPr>
        <w:ind w:left="4320" w:hanging="36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decimal"/>
      <w:suff w:val="tab"/>
      <w:lvlText w:val="%9."/>
      <w:lvlJc w:val="left"/>
      <w:pPr>
        <w:ind w:left="6480" w:hanging="360"/>
      </w:pPr>
      <w:rPr/>
    </w:lvl>
  </w:abstractNum>
  <w:abstractNum w:abstractNumId="7"/>
  <w:abstractNum w:abstractNumId="8"/>
  <w:abstractNum w:abstractNumId="9"/>
  <w:abstractNum w:abstractNumId="1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upperRoman"/>
      <w:isLgl w:val="off"/>
      <w:suff w:val="tab"/>
      <w:lvlText w:val="%1."/>
      <w:lvlJc w:val="righ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  <w:lvlOverride w:ilvl="0">
      <w:lvl w:ilvl="0" w:tentative="1">
        <w:numFmt w:val="bullet"/>
        <w:suff w:val="tab"/>
        <w:lvlText w:val="1."/>
        <w:rPr/>
      </w:lvl>
    </w:lvlOverride>
  </w:num>
  <w:num w:numId="9">
    <w:abstractNumId w:val="8"/>
    <w:lvlOverride w:ilvl="0">
      <w:lvl w:ilvl="0" w:tentative="1">
        <w:numFmt w:val="bullet"/>
        <w:suff w:val="tab"/>
        <w:lvlText w:val="2."/>
        <w:rPr/>
      </w:lvl>
    </w:lvlOverride>
  </w:num>
  <w:num w:numId="10">
    <w:abstractNumId w:val="9"/>
    <w:lvlOverride w:ilvl="0">
      <w:lvl w:ilvl="0" w:tentative="1">
        <w:numFmt w:val="bullet"/>
        <w:suff w:val="tab"/>
        <w:lvlText w:val="3."/>
        <w:rPr/>
      </w:lvl>
    </w:lvlOverride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</cp:coreProperties>
</file>