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ind w:firstLine="2835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z w:val="28"/>
          <w:szCs w:val="28"/>
          <w:lang w:eastAsia="ru-RU"/>
        </w:rPr>
        <w:t>МИНОБРНАУКИ РОССИИ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Кафедра Вычислительной техники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cap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ap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709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caps/>
          <w:spacing w:val="5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mallCaps/>
          <w:spacing w:val="5"/>
          <w:sz w:val="28"/>
          <w:szCs w:val="28"/>
          <w:lang w:eastAsia="ru-RU"/>
        </w:rPr>
        <w:t>отчет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по лабораторной работе</w:t>
      </w:r>
      <w:r>
        <w:rPr>
          <w:rFonts w:eastAsia="Times New Roman" w:cs="Times New Roman" w:ascii="Times New Roman" w:hAnsi="Times New Roman"/>
          <w:b/>
          <w:color w:val="FF0000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№1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по дисциплине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eastAsia="ru-RU"/>
        </w:rPr>
        <w:t>«</w:t>
      </w: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Основы машинного обучения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eastAsia="ru-RU"/>
        </w:rPr>
        <w:t>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mallCaps/>
          <w:spacing w:val="5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mallCaps/>
          <w:spacing w:val="5"/>
          <w:sz w:val="28"/>
          <w:szCs w:val="28"/>
          <w:lang w:eastAsia="ru-RU"/>
        </w:rPr>
        <w:t>Тема: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mallCaps/>
          <w:spacing w:val="5"/>
          <w:sz w:val="28"/>
          <w:szCs w:val="28"/>
          <w:lang w:eastAsia="ru-RU"/>
        </w:rPr>
        <w:t>Классификация.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128"/>
        <w:gridCol w:w="2475"/>
        <w:gridCol w:w="2752"/>
      </w:tblGrid>
      <w:tr>
        <w:trPr>
          <w:trHeight w:val="614" w:hRule="atLeast"/>
        </w:trPr>
        <w:tc>
          <w:tcPr>
            <w:tcW w:w="4128" w:type="dxa"/>
            <w:tcBorders/>
            <w:vAlign w:val="bottom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eastAsia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  <w:lang w:eastAsia="ru-RU"/>
              </w:rPr>
              <w:t>Студентка</w:t>
            </w:r>
            <w:r>
              <w:rPr>
                <w:rFonts w:eastAsia="Times New Roman" w:cs="Times New Roman" w:ascii="Times New Roman" w:hAnsi="Times New Roman"/>
                <w:bCs/>
                <w:color w:val="FF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  <w:lang w:eastAsia="ru-RU"/>
              </w:rPr>
              <w:t>гр. 3316</w:t>
            </w:r>
          </w:p>
        </w:tc>
        <w:tc>
          <w:tcPr>
            <w:tcW w:w="2475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eastAsia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  <w:lang w:eastAsia="ru-RU"/>
              </w:rPr>
            </w:r>
          </w:p>
        </w:tc>
        <w:tc>
          <w:tcPr>
            <w:tcW w:w="2752" w:type="dxa"/>
            <w:tcBorders/>
            <w:vAlign w:val="bottom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  <w:lang w:eastAsia="ru-RU"/>
              </w:rPr>
              <w:t>Борисов А.М.</w:t>
            </w:r>
          </w:p>
        </w:tc>
      </w:tr>
      <w:tr>
        <w:trPr>
          <w:trHeight w:val="614" w:hRule="atLeast"/>
        </w:trPr>
        <w:tc>
          <w:tcPr>
            <w:tcW w:w="4128" w:type="dxa"/>
            <w:tcBorders/>
            <w:vAlign w:val="bottom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eastAsia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47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eastAsia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  <w:lang w:eastAsia="ru-RU"/>
              </w:rPr>
            </w:r>
          </w:p>
        </w:tc>
        <w:tc>
          <w:tcPr>
            <w:tcW w:w="2752" w:type="dxa"/>
            <w:tcBorders/>
            <w:vAlign w:val="bottom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  <w:lang w:eastAsia="ru-RU"/>
              </w:rPr>
              <w:t>Турсуков Н. О.</w:t>
            </w:r>
          </w:p>
        </w:tc>
      </w:tr>
    </w:tbl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Санкт-Петербург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2025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/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</w:pPr>
          <w:r>
            <w:rPr>
              <w:rFonts w:cs="Times New Roman" w:ascii="Times New Roman" w:hAnsi="Times New Roman"/>
              <w:bCs/>
              <w:color w:val="auto"/>
              <w:sz w:val="28"/>
              <w:szCs w:val="28"/>
            </w:rPr>
            <w:br/>
            <w:t>Содержание:</w:t>
          </w:r>
        </w:p>
        <w:p>
          <w:pPr>
            <w:pStyle w:val="TOC1"/>
            <w:rPr>
              <w:rFonts w:eastAsia="" w:eastAsiaTheme="minorEastAsia"/>
              <w:b/>
              <w:bCs/>
              <w:lang w:eastAsia="ru-RU"/>
            </w:rPr>
          </w:pPr>
          <w:r>
            <w:fldChar w:fldCharType="begin"/>
          </w:r>
          <w:r>
            <w:rPr>
              <w:webHidden/>
              <w:rStyle w:val="Style9"/>
              <w:vanish w:val="false"/>
            </w:rPr>
            <w:instrText xml:space="preserve"> TOC \z \o "1-3" \u \h</w:instrText>
          </w:r>
          <w:r>
            <w:rPr>
              <w:webHidden/>
              <w:rStyle w:val="Style9"/>
              <w:vanish w:val="false"/>
            </w:rPr>
            <w:fldChar w:fldCharType="separate"/>
          </w:r>
          <w:hyperlink w:anchor="_Toc211609293">
            <w:r>
              <w:rPr>
                <w:webHidden/>
                <w:rStyle w:val="Style9"/>
                <w:vanish w:val="false"/>
              </w:rPr>
              <w:t>Цель работы:</w:t>
            </w:r>
            <w:r>
              <w:rPr>
                <w:rStyle w:val="Style9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_Toc211609293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b/>
                <w:bCs/>
                <w:vanish w:val="false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eastAsiaTheme="minorEastAsia"/>
              <w:b/>
              <w:bCs/>
              <w:lang w:eastAsia="ru-RU"/>
            </w:rPr>
          </w:pPr>
          <w:hyperlink w:anchor="_Toc211609294">
            <w:r>
              <w:rPr>
                <w:webHidden/>
                <w:rStyle w:val="Style9"/>
                <w:vanish w:val="false"/>
              </w:rPr>
              <w:t>Задачи работы: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_Toc211609294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b/>
                <w:bCs/>
                <w:vanish w:val="false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eastAsiaTheme="minorEastAsia"/>
              <w:b/>
              <w:bCs/>
              <w:lang w:eastAsia="ru-RU"/>
            </w:rPr>
          </w:pPr>
          <w:hyperlink w:anchor="_Toc211609295">
            <w:r>
              <w:rPr>
                <w:webHidden/>
                <w:rStyle w:val="Style9"/>
                <w:vanish w:val="false"/>
              </w:rPr>
              <w:t>Краткая теоретическая информация по теме работы: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_Toc211609295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b/>
                <w:bCs/>
                <w:vanish w:val="false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eastAsiaTheme="minorEastAsia"/>
              <w:b/>
              <w:bCs/>
              <w:lang w:eastAsia="ru-RU"/>
            </w:rPr>
          </w:pPr>
          <w:hyperlink w:anchor="_Toc211609296">
            <w:r>
              <w:rPr>
                <w:webHidden/>
                <w:rStyle w:val="Style9"/>
                <w:vanish w:val="false"/>
              </w:rPr>
              <w:t>Процесс и результаты работы.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_Toc211609296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b/>
                <w:bCs/>
                <w:vanish w:val="false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hyperlink w:anchor="_Toc211609297">
            <w:r>
              <w:rPr>
                <w:webHidden/>
                <w:rStyle w:val="Style9"/>
                <w:rFonts w:cs="Times New Roman" w:ascii="Times New Roman" w:hAnsi="Times New Roman"/>
                <w:bCs/>
                <w:vanish w:val="false"/>
                <w:sz w:val="28"/>
                <w:szCs w:val="28"/>
              </w:rPr>
              <w:t>Подготовка данных.</w:t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_Toc211609297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hyperlink w:anchor="_Toc211609298">
            <w:r>
              <w:rPr>
                <w:webHidden/>
                <w:rStyle w:val="Style9"/>
                <w:rFonts w:cs="Times New Roman" w:ascii="Times New Roman" w:hAnsi="Times New Roman"/>
                <w:bCs/>
                <w:vanish w:val="false"/>
                <w:sz w:val="28"/>
                <w:szCs w:val="28"/>
              </w:rPr>
              <w:t>Обучение моделей.</w:t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_Toc211609298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hyperlink w:anchor="_Toc211609299">
            <w:r>
              <w:rPr>
                <w:webHidden/>
                <w:rStyle w:val="Style9"/>
                <w:rFonts w:cs="Times New Roman" w:ascii="Times New Roman" w:hAnsi="Times New Roman"/>
                <w:bCs/>
                <w:vanish w:val="false"/>
                <w:sz w:val="28"/>
                <w:szCs w:val="28"/>
                <w:lang w:val="en-US"/>
              </w:rPr>
              <w:t>KNN</w:t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_Toc211609299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hyperlink w:anchor="_Toc211609300">
            <w:r>
              <w:rPr>
                <w:webHidden/>
                <w:rStyle w:val="Style9"/>
                <w:rFonts w:cs="Times New Roman" w:ascii="Times New Roman" w:hAnsi="Times New Roman"/>
                <w:bCs/>
                <w:vanish w:val="false"/>
                <w:sz w:val="28"/>
                <w:szCs w:val="28"/>
                <w:lang w:val="en-US"/>
              </w:rPr>
              <w:t>SVM</w:t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_Toc211609300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345" w:leader="dot"/>
            </w:tabs>
            <w:spacing w:lineRule="auto" w:line="360"/>
            <w:rPr>
              <w:rFonts w:ascii="Times New Roman" w:hAnsi="Times New Roman" w:eastAsia="" w:cs="Times New Roman" w:eastAsiaTheme="minorEastAsia"/>
              <w:sz w:val="28"/>
              <w:szCs w:val="28"/>
              <w:lang w:eastAsia="ru-RU"/>
            </w:rPr>
          </w:pPr>
          <w:hyperlink w:anchor="_Toc211609301">
            <w:r>
              <w:rPr>
                <w:webHidden/>
                <w:rStyle w:val="Style9"/>
                <w:rFonts w:cs="Times New Roman" w:ascii="Times New Roman" w:hAnsi="Times New Roman"/>
                <w:bCs/>
                <w:vanish w:val="false"/>
                <w:sz w:val="28"/>
                <w:szCs w:val="28"/>
              </w:rPr>
              <w:t>Дерево решений.</w:t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_Toc211609301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rFonts w:cs="Times New Roman" w:ascii="Times New Roman" w:hAnsi="Times New Roman"/>
                <w:vanish w:val="false"/>
                <w:sz w:val="28"/>
                <w:szCs w:val="28"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eastAsiaTheme="minorEastAsia"/>
              <w:lang w:eastAsia="ru-RU"/>
            </w:rPr>
          </w:pPr>
          <w:hyperlink w:anchor="_Toc2116093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_Toc211609302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9"/>
                <w:vanish w:val="false"/>
              </w:rPr>
              <w:t>Оценка моделей.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eastAsiaTheme="minorEastAsia"/>
              <w:lang w:eastAsia="ru-RU"/>
            </w:rPr>
          </w:pPr>
          <w:hyperlink w:anchor="_Toc21160930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_Toc211609303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9"/>
                <w:vanish w:val="false"/>
              </w:rPr>
              <w:t>Вывод.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cs="Times New Roman" w:ascii="Times New Roman" w:hAnsi="Times New Roman"/>
              <w:bCs/>
              <w:sz w:val="28"/>
              <w:szCs w:val="28"/>
            </w:rPr>
          </w:r>
          <w:r>
            <w:rPr>
              <w:sz w:val="28"/>
              <w:szCs w:val="28"/>
              <w:bCs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Normal"/>
        <w:spacing w:lineRule="auto" w:line="360"/>
        <w:rPr>
          <w:rFonts w:ascii="Times New Roman" w:hAnsi="Times New Roman" w:eastAsia="Times New Roman" w:cs="Times New Roman"/>
          <w:bCs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28"/>
          <w:szCs w:val="28"/>
          <w:lang w:eastAsia="ru-RU"/>
          <w14:ligatures w14:val="none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28"/>
          <w:szCs w:val="28"/>
          <w:lang w:eastAsia="ru-RU"/>
          <w14:ligatures w14:val="none"/>
        </w:rPr>
      </w:r>
      <w:r>
        <w:br w:type="page"/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Toc211609293"/>
      <w:r>
        <w:rPr>
          <w:rStyle w:val="1"/>
          <w:rFonts w:cs="Times New Roman" w:ascii="Times New Roman" w:hAnsi="Times New Roman"/>
          <w:b/>
          <w:bCs/>
          <w:color w:val="auto"/>
          <w:sz w:val="28"/>
          <w:szCs w:val="28"/>
        </w:rPr>
        <w:t>Цель работы:</w:t>
      </w:r>
      <w:bookmarkEnd w:id="0"/>
      <w:r>
        <w:rPr>
          <w:rFonts w:cs="Times New Roman" w:ascii="Times New Roman" w:hAnsi="Times New Roman"/>
          <w:bCs/>
          <w:sz w:val="28"/>
          <w:szCs w:val="28"/>
        </w:rPr>
        <w:t xml:space="preserve"> закрепить на практике знания о способах предобработки данных и применить алгоритмы машинного обучения для решения задач классификации.</w:t>
      </w:r>
    </w:p>
    <w:p>
      <w:pPr>
        <w:pStyle w:val="Heading1"/>
        <w:spacing w:lineRule="auto" w:line="360"/>
        <w:jc w:val="both"/>
        <w:rPr>
          <w:rStyle w:val="2"/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11609294"/>
      <w:r>
        <w:rPr>
          <w:rStyle w:val="2"/>
          <w:rFonts w:cs="Times New Roman" w:ascii="Times New Roman" w:hAnsi="Times New Roman"/>
          <w:b/>
          <w:color w:val="auto"/>
          <w:sz w:val="28"/>
          <w:szCs w:val="28"/>
        </w:rPr>
        <w:t>Задачи работы:</w:t>
      </w:r>
      <w:bookmarkEnd w:id="1"/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Предварительно обработать данные согласно следующим пунктам: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Визуализация значимых признаков (диаграммы рассеяния, ящики с усами, гистограммы).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Очистка данных (удаление пропусков, нормализация, удаление дубликатов).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Корреляция данных (матрица корреляций).</w:t>
      </w:r>
    </w:p>
    <w:p>
      <w:pPr>
        <w:pStyle w:val="NormalWeb"/>
        <w:spacing w:lineRule="auto" w:line="360" w:beforeAutospacing="0" w:before="240" w:afterAutospacing="0" w:after="240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В ходе выполнения лабораторной работы должны быть выполнены следующие этапы:</w:t>
      </w:r>
    </w:p>
    <w:p>
      <w:pPr>
        <w:pStyle w:val="NormalWeb"/>
        <w:numPr>
          <w:ilvl w:val="0"/>
          <w:numId w:val="2"/>
        </w:numPr>
        <w:spacing w:lineRule="auto" w:line="360" w:beforeAutospacing="0" w:before="240" w:afterAutospacing="0" w:after="240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Обучение моделей и подбор параметров: </w:t>
      </w:r>
    </w:p>
    <w:p>
      <w:pPr>
        <w:pStyle w:val="NormalWeb"/>
        <w:numPr>
          <w:ilvl w:val="0"/>
          <w:numId w:val="3"/>
        </w:numPr>
        <w:spacing w:lineRule="auto" w:line="360" w:beforeAutospacing="0" w:before="240" w:afterAutospacing="0" w:after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K-ближайших соседей (KNN)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Машина опорных векторов (SVM)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240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Дерево решений ИЛИ Случайный лес</w:t>
      </w:r>
    </w:p>
    <w:p>
      <w:pPr>
        <w:pStyle w:val="NormalWeb"/>
        <w:numPr>
          <w:ilvl w:val="0"/>
          <w:numId w:val="2"/>
        </w:numPr>
        <w:spacing w:lineRule="auto" w:line="360" w:beforeAutospacing="0" w:before="240" w:afterAutospacing="0" w:after="240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Оценка моделей:</w:t>
      </w:r>
      <w:r>
        <w:rPr>
          <w:bCs/>
          <w:sz w:val="28"/>
          <w:szCs w:val="28"/>
        </w:rPr>
        <w:t xml:space="preserve"> </w:t>
      </w:r>
    </w:p>
    <w:p>
      <w:pPr>
        <w:pStyle w:val="NormalWeb"/>
        <w:numPr>
          <w:ilvl w:val="0"/>
          <w:numId w:val="4"/>
        </w:numPr>
        <w:spacing w:lineRule="auto" w:line="360" w:beforeAutospacing="0" w:before="240" w:afterAutospacing="0" w:after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Визуализация предсказанных значений</w:t>
      </w:r>
    </w:p>
    <w:p>
      <w:pPr>
        <w:pStyle w:val="NormalWeb"/>
        <w:numPr>
          <w:ilvl w:val="0"/>
          <w:numId w:val="4"/>
        </w:numPr>
        <w:spacing w:lineRule="auto" w:line="360" w:beforeAutospacing="0" w:before="0" w:afterAutospacing="0" w:after="0"/>
        <w:jc w:val="both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>Оценка</w:t>
      </w:r>
      <w:r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качества</w:t>
      </w:r>
      <w:r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прогноза</w:t>
      </w:r>
      <w:r>
        <w:rPr>
          <w:bCs/>
          <w:color w:val="000000"/>
          <w:sz w:val="28"/>
          <w:szCs w:val="28"/>
          <w:lang w:val="en-US"/>
        </w:rPr>
        <w:t xml:space="preserve"> (precision/recall/f1-score/ROC-AUC)</w:t>
      </w:r>
    </w:p>
    <w:p>
      <w:pPr>
        <w:pStyle w:val="NormalWeb"/>
        <w:numPr>
          <w:ilvl w:val="0"/>
          <w:numId w:val="4"/>
        </w:numPr>
        <w:spacing w:lineRule="auto" w:line="360" w:beforeAutospacing="0" w:before="0" w:afterAutospacing="0" w:after="240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Визуализация дерева решений ИЛИ Визуализация Feature Importance для случайного леса 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Heading1"/>
        <w:spacing w:lineRule="auto" w:line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11609295"/>
      <w:r>
        <w:rPr>
          <w:rStyle w:val="2"/>
          <w:rFonts w:cs="Times New Roman" w:ascii="Times New Roman" w:hAnsi="Times New Roman"/>
          <w:b/>
          <w:color w:val="auto"/>
          <w:sz w:val="28"/>
          <w:szCs w:val="28"/>
        </w:rPr>
        <w:t>Краткая теоретическая информация по теме работы:</w:t>
      </w:r>
      <w:bookmarkEnd w:id="2"/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Классификация</w:t>
      </w:r>
      <w:r>
        <w:rPr>
          <w:rFonts w:cs="Times New Roman" w:ascii="Times New Roman" w:hAnsi="Times New Roman"/>
          <w:bCs/>
          <w:sz w:val="28"/>
          <w:szCs w:val="28"/>
        </w:rPr>
        <w:t xml:space="preserve"> – это тип задачи обучения с учителем, в которой цель состоит в том, чтобы построить модель, способную предсказывать категориальную метку (класс) для новых, ранее не виденных наблюдений на основе обучающих данных, где каждому объекту уже сопоставлена правильная метка.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Основные характеристики: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Вход: вектор признаков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)</m:t>
        </m:r>
      </m:oMath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Выход: дискретная метка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∈</m:t>
        </m:r>
        <m:r>
          <w:rPr>
            <w:rFonts w:ascii="Cambria Math" w:hAnsi="Cambria Math"/>
          </w:rPr>
          <m:t xml:space="preserve">{</m:t>
        </m:r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}</m:t>
        </m:r>
      </m:oMath>
      <w:r>
        <w:rPr>
          <w:rFonts w:cs="Times New Roman" w:ascii="Times New Roman" w:hAnsi="Times New Roman"/>
          <w:bCs/>
          <w:sz w:val="28"/>
          <w:szCs w:val="28"/>
        </w:rPr>
        <w:t xml:space="preserve">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cs="Times New Roman" w:ascii="Times New Roman" w:hAnsi="Times New Roman"/>
          <w:bCs/>
          <w:sz w:val="28"/>
          <w:szCs w:val="28"/>
        </w:rPr>
        <w:t xml:space="preserve"> – число классов 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Цель: минимизировать ошибку классификации на новых данных (обобщение)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Типы классификации: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Бинарная: два класса (например, «да/нет», «заболевание/здоров»)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Многоклассовая: &gt; двух классов (например, распознавание цифр 0-9)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Мультилейбл: один объект может принадлежать сразу нескольким классам (редко в базовых задачах)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Классификация лежит в основе множества приложений: диагностика заболеваний, фильтрация спама, распознавание лиц, кредитный скоринг и др.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В рамках лабораторной работы выполняется полный цикл подготовки данных и построения моделей машинного обучения. На этапе предварительной обработки проводится визуализация значимых признаков с помощью гистограмм, диаграмм рассеяния и ящиков с усами. 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Визуальный анализ помогает понять распределение данных, выявить паттерны, выбросы и потенциальные зависимости между признаками и целевой переменной.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Гистограммы: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Показывают распределение значений одного числового признака.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Позволяют оценить: симметричность, наличие мод, хвостов, выбросов.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Полезны для проверки нормальности распределения (важно для некоторых статистических методов).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Диаграммы рассеяния (scatter plots):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Отображают взаимосвязь между двумя числовыми признаками.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Если точки образуют облако с наклоном — возможна корреляция.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При наличии метки класса — точки можно раскрасить по классам, чтобы увидеть, разделимы ли классы в этом пространстве признаков.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Ящики с усами (boxplots):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Визуализируют пять ключевых статистик: минимум, первый квартиль (Q1), медиана (Q2), третий квартиль (Q3), максимум.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Усы обычно ограничены 1.5 × IQR (межквартильный размах = Q3 – Q1).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Точки за пределами усов считаются потенциальными выбросами.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Особенно полезны при сравнении распределений признака по классам (например, boxplot дохода для «дефолт/не дефолт»).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>Корреляция</w:t>
      </w:r>
      <w:r>
        <w:rPr>
          <w:rFonts w:cs="Times New Roman" w:ascii="Times New Roman" w:hAnsi="Times New Roman"/>
          <w:bCs/>
          <w:sz w:val="28"/>
          <w:szCs w:val="28"/>
        </w:rPr>
        <w:t xml:space="preserve"> – мера линейной зависимости между двумя количественными переменными.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Коэффициент корреляции Пирсона: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cs="Times New Roman"/>
          <w:bCs/>
          <w:i/>
          <w:i/>
          <w:sz w:val="28"/>
          <w:szCs w:val="28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y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Cov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x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y</m:t>
                  </m:r>
                </m:sub>
              </m:sSub>
            </m:den>
          </m:f>
        </m:oMath>
      </m:oMathPara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где: 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eastAsia="" w:cs="Times New Roman" w:eastAsiaTheme="minorEastAsia"/>
          <w:bCs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Cov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</m:oMath>
      <w:r>
        <w:rPr>
          <w:rFonts w:eastAsia="" w:cs="Times New Roman" w:ascii="Times New Roman" w:hAnsi="Times New Roman" w:eastAsiaTheme="minorEastAsia"/>
          <w:bCs/>
          <w:sz w:val="28"/>
          <w:szCs w:val="28"/>
        </w:rPr>
        <w:t xml:space="preserve"> – </w:t>
      </w:r>
      <w:r>
        <w:rPr>
          <w:rFonts w:eastAsia="" w:cs="Times New Roman" w:ascii="Times New Roman" w:hAnsi="Times New Roman" w:eastAsiaTheme="minorEastAsia"/>
          <w:bCs/>
          <w:sz w:val="28"/>
          <w:szCs w:val="28"/>
        </w:rPr>
        <w:t>ковариация (статистическая мера, которая показывает, насколько две случайные величины изменяются вместе. Другими словами, она характеризует направление линейной зависимости между двумя переменными).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eastAsia="" w:cs="Times New Roman" w:eastAsiaTheme="minorEastAsia"/>
          <w:bCs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σ</m:t>
            </m:r>
          </m:e>
          <m:sub>
            <m:r>
              <w:rPr>
                <w:rFonts w:ascii="Cambria Math" w:hAnsi="Cambria Math"/>
              </w:rPr>
              <m:t xml:space="preserve">x</m:t>
            </m:r>
          </m:sub>
        </m:sSub>
        <m:sSub>
          <m:e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</m:oMath>
      <w:r>
        <w:rPr>
          <w:rFonts w:eastAsia="" w:cs="Times New Roman" w:ascii="Times New Roman" w:hAnsi="Times New Roman" w:eastAsiaTheme="minorEastAsia"/>
          <w:bCs/>
          <w:sz w:val="28"/>
          <w:szCs w:val="28"/>
        </w:rPr>
        <w:t xml:space="preserve"> – </w:t>
      </w:r>
      <w:r>
        <w:rPr>
          <w:rFonts w:eastAsia="" w:cs="Times New Roman" w:ascii="Times New Roman" w:hAnsi="Times New Roman" w:eastAsiaTheme="minorEastAsia"/>
          <w:bCs/>
          <w:sz w:val="28"/>
          <w:szCs w:val="28"/>
        </w:rPr>
        <w:t>стандартные отклонения.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Свойства:</w:t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r</m:t>
          </m:r>
          <m:r>
            <w:rPr>
              <w:rFonts w:ascii="Cambria Math" w:hAnsi="Cambria Math"/>
            </w:rPr>
            <m:t xml:space="preserve">∈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1,1</m:t>
              </m:r>
            </m:e>
          </m:d>
        </m:oMath>
      </m:oMathPara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rFonts w:cs="Times New Roman" w:ascii="Times New Roman" w:hAnsi="Times New Roman"/>
          <w:bCs/>
          <w:sz w:val="28"/>
          <w:szCs w:val="28"/>
        </w:rPr>
        <w:t>: идеальная положительная линейная связь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  <w:r>
        <w:rPr>
          <w:rFonts w:cs="Times New Roman" w:ascii="Times New Roman" w:hAnsi="Times New Roman"/>
          <w:bCs/>
          <w:sz w:val="28"/>
          <w:szCs w:val="28"/>
        </w:rPr>
        <w:t>: идеальная отрицательная линейная связь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rFonts w:cs="Times New Roman" w:ascii="Times New Roman" w:hAnsi="Times New Roman"/>
          <w:bCs/>
          <w:sz w:val="28"/>
          <w:szCs w:val="28"/>
        </w:rPr>
        <w:t>: отсутствие линейной связи (но не обязательно независимость!)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Матрица корреляций.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Квадратная симметричная матрица, где элемент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j</m:t>
        </m:r>
        <m:r>
          <w:rPr>
            <w:rFonts w:ascii="Cambria Math" w:hAnsi="Cambria Math"/>
          </w:rPr>
          <m:t xml:space="preserve">)</m:t>
        </m:r>
      </m:oMath>
      <w:r>
        <w:rPr>
          <w:rFonts w:cs="Times New Roman" w:ascii="Times New Roman" w:hAnsi="Times New Roman"/>
          <w:bCs/>
          <w:sz w:val="28"/>
          <w:szCs w:val="28"/>
        </w:rPr>
        <w:t xml:space="preserve"> – корреляция между признаком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cs="Times New Roman" w:ascii="Times New Roman" w:hAnsi="Times New Roman"/>
          <w:bCs/>
          <w:sz w:val="28"/>
          <w:szCs w:val="28"/>
        </w:rPr>
        <w:t xml:space="preserve"> и признаком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j</m:t>
        </m:r>
      </m:oMath>
      <w:r>
        <w:rPr>
          <w:rFonts w:cs="Times New Roman" w:ascii="Times New Roman" w:hAnsi="Times New Roman"/>
          <w:bCs/>
          <w:sz w:val="28"/>
          <w:szCs w:val="28"/>
        </w:rPr>
        <w:t>. Диагональ всегда = 1 (признак полностью коррелирует сам с собой). Часто визуализируется в виде тепловой карты (heatmap): тёплые цвета – высокая положительная корреляция, холодные – отрицательная.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K-ближайших соседей (KNN).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Принцип работы: не строит явную модель; запоминает обучающие данные (ленивое обучение). Для нового объекта:</w:t>
      </w:r>
    </w:p>
    <w:p>
      <w:pPr>
        <w:pStyle w:val="Normal"/>
        <w:numPr>
          <w:ilvl w:val="1"/>
          <w:numId w:val="10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Находит K ближайших соседей в пространстве признаков (по евклидову, манхэттенскому или другому расстоянию).</w:t>
      </w:r>
    </w:p>
    <w:p>
      <w:pPr>
        <w:pStyle w:val="Normal"/>
        <w:numPr>
          <w:ilvl w:val="1"/>
          <w:numId w:val="10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Присваивает класс, который доминирует среди этих K соседей (голосование).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Особенности: чувствителен к масштабу признаков: признак с большим диапазоном «затмит» остальные → обязательна нормализация/стандартизация. Вычислительно затратен на этапе предсказания при больших данных (требует вычисления расстояний до всех точек).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Выбор K:</w:t>
      </w:r>
    </w:p>
    <w:p>
      <w:pPr>
        <w:pStyle w:val="Normal"/>
        <w:numPr>
          <w:ilvl w:val="1"/>
          <w:numId w:val="11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Малое K (например, 1): модель очень гибкая, но склонна к переобучению и шуму.</w:t>
      </w:r>
    </w:p>
    <w:p>
      <w:pPr>
        <w:pStyle w:val="Normal"/>
        <w:numPr>
          <w:ilvl w:val="1"/>
          <w:numId w:val="11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Большое K: сглаживает границы, но может недообучиться, особенно при несбалансированных классах.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Гиперпараметры: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  <w:t xml:space="preserve">K – </w:t>
      </w:r>
      <w:r>
        <w:rPr>
          <w:rFonts w:cs="Times New Roman" w:ascii="Times New Roman" w:hAnsi="Times New Roman"/>
          <w:bCs/>
          <w:sz w:val="28"/>
          <w:szCs w:val="28"/>
        </w:rPr>
        <w:t>число соседей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/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Метрика расстояния (euclidean, manhattan, cosine и др.).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Взвешенное голосование (по расстоянию)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Машина опорных векторов (SVM).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Принцип работы: ищет гиперплоскость, которая максимально разделяет классы в признаковом пространстве. Опорные векторы – это ближайшие к гиперплоскости точки обучающей выборки; именно они определяют положение границы.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Линейно разделимый случай: идеальная гиперплоскость максимизирует зазор (margin) между классами.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Нелинейно разделимый случай: вводится параметр C (штраф за ошибки):</w:t>
      </w:r>
    </w:p>
    <w:p>
      <w:pPr>
        <w:pStyle w:val="Normal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Большой C → модель строго наказывает ошибки → узкий зазор, риск переобучения.</w:t>
      </w:r>
    </w:p>
    <w:p>
      <w:pPr>
        <w:pStyle w:val="Normal"/>
        <w:numPr>
          <w:ilvl w:val="1"/>
          <w:numId w:val="13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Малый C → допускает больше ошибок → широкий зазор, устойчивость к шуму.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Ядра (kernels): позволяют работать в расширенном (часто бесконечномерном) пространстве, где данные становятся линейно разделимыми. </w:t>
      </w:r>
      <w:r>
        <w:rPr>
          <w:rFonts w:cs="Times New Roman" w:ascii="Times New Roman" w:hAnsi="Times New Roman"/>
          <w:bCs/>
          <w:i/>
          <w:iCs/>
          <w:sz w:val="28"/>
          <w:szCs w:val="28"/>
        </w:rPr>
        <w:t>Линейное ядро</w:t>
      </w:r>
      <w:r>
        <w:rPr>
          <w:rFonts w:cs="Times New Roman" w:ascii="Times New Roman" w:hAnsi="Times New Roman"/>
          <w:bCs/>
          <w:sz w:val="28"/>
          <w:szCs w:val="28"/>
        </w:rPr>
        <w:t xml:space="preserve">: для линейно разделимых данных. </w:t>
      </w:r>
      <w:r>
        <w:rPr>
          <w:rFonts w:cs="Times New Roman" w:ascii="Times New Roman" w:hAnsi="Times New Roman"/>
          <w:bCs/>
          <w:i/>
          <w:iCs/>
          <w:sz w:val="28"/>
          <w:szCs w:val="28"/>
        </w:rPr>
        <w:t>RBF (радиальная базисная функция)</w:t>
      </w:r>
      <w:r>
        <w:rPr>
          <w:rFonts w:cs="Times New Roman" w:ascii="Times New Roman" w:hAnsi="Times New Roman"/>
          <w:bCs/>
          <w:sz w:val="28"/>
          <w:szCs w:val="28"/>
        </w:rPr>
        <w:t>: гибкое, часто используется по умолчанию. Параметр γ: чем больше – тем сложнее граница (риск переобучения).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Особенности: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Требует нормализации признаков (иначе признаки с большим масштабом доминируют).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Эффективна при высокой размерности, но плохо масштабируется на очень большие выборки (&gt;100k объектов).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Дерево решений и Случайный лес.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Дерево решений:</w:t>
      </w:r>
    </w:p>
    <w:p>
      <w:pPr>
        <w:pStyle w:val="Normal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Рекурсивно разбивает обучающее множество на подмножества, выбирая на каждом шаге наилучший признак и порог для разбиения.</w:t>
      </w:r>
    </w:p>
    <w:p>
      <w:pPr>
        <w:pStyle w:val="Normal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Критерии качества разбиения:</w:t>
      </w:r>
    </w:p>
    <w:p>
      <w:pPr>
        <w:pStyle w:val="Normal"/>
        <w:numPr>
          <w:ilvl w:val="1"/>
          <w:numId w:val="15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Джини-неоднородность: </w:t>
      </w:r>
    </w:p>
    <w:p>
      <w:pPr>
        <w:pStyle w:val="Normal"/>
        <w:numPr>
          <w:ilvl w:val="1"/>
          <w:numId w:val="15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Энтропия: </w:t>
      </w:r>
    </w:p>
    <w:p>
      <w:pPr>
        <w:pStyle w:val="Normal"/>
        <w:numPr>
          <w:ilvl w:val="0"/>
          <w:numId w:val="15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Процесс продолжается, пока не будет достигнуто условие останова (макс. глубина, мин. число объектов в листе и др.).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Преимущества:</w:t>
      </w:r>
    </w:p>
    <w:p>
      <w:pPr>
        <w:pStyle w:val="Normal"/>
        <w:numPr>
          <w:ilvl w:val="0"/>
          <w:numId w:val="16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Интерпретируемость (можно визуализировать)</w:t>
      </w:r>
    </w:p>
    <w:p>
      <w:pPr>
        <w:pStyle w:val="Normal"/>
        <w:numPr>
          <w:ilvl w:val="0"/>
          <w:numId w:val="16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Не требует нормализации</w:t>
      </w:r>
    </w:p>
    <w:p>
      <w:pPr>
        <w:pStyle w:val="Normal"/>
        <w:numPr>
          <w:ilvl w:val="0"/>
          <w:numId w:val="16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Работает с числовыми и категориальными признаками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Недостатки:</w:t>
      </w:r>
    </w:p>
    <w:p>
      <w:pPr>
        <w:pStyle w:val="Normal"/>
        <w:numPr>
          <w:ilvl w:val="0"/>
          <w:numId w:val="17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Склонно к переобучению, особенно при большой глубине</w:t>
      </w:r>
    </w:p>
    <w:p>
      <w:pPr>
        <w:pStyle w:val="Normal"/>
        <w:numPr>
          <w:ilvl w:val="0"/>
          <w:numId w:val="17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Нестабильно: небольшие изменения в данных → сильно другое дерево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Случайный лес (Random Forest):</w:t>
      </w:r>
    </w:p>
    <w:p>
      <w:pPr>
        <w:pStyle w:val="Normal"/>
        <w:numPr>
          <w:ilvl w:val="0"/>
          <w:numId w:val="18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Это ансамблевый метод, основанный на бэггинге (bagging) и рандомизации признаков.</w:t>
      </w:r>
    </w:p>
    <w:p>
      <w:pPr>
        <w:pStyle w:val="Normal"/>
        <w:numPr>
          <w:ilvl w:val="0"/>
          <w:numId w:val="18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Обучает множество деревьев:</w:t>
      </w:r>
    </w:p>
    <w:p>
      <w:pPr>
        <w:pStyle w:val="Normal"/>
        <w:numPr>
          <w:ilvl w:val="1"/>
          <w:numId w:val="18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Каждое дерево обучается на случайной подвыборке с возвращением (bootstrap sample)</w:t>
      </w:r>
    </w:p>
    <w:p>
      <w:pPr>
        <w:pStyle w:val="Normal"/>
        <w:numPr>
          <w:ilvl w:val="1"/>
          <w:numId w:val="18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На каждом узле разбиение выбирается только из случайного подмножества признаков (обычно для классификации, где — число признаков)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Преимущества:</w:t>
      </w:r>
    </w:p>
    <w:p>
      <w:pPr>
        <w:pStyle w:val="Normal"/>
        <w:numPr>
          <w:ilvl w:val="0"/>
          <w:numId w:val="19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Снижает дисперсию → меньше переобучение, чем у одного дерева</w:t>
      </w:r>
    </w:p>
    <w:p>
      <w:pPr>
        <w:pStyle w:val="Normal"/>
        <w:numPr>
          <w:ilvl w:val="0"/>
          <w:numId w:val="19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Очень высокая точность «из коробки»</w:t>
      </w:r>
    </w:p>
    <w:p>
      <w:pPr>
        <w:pStyle w:val="Normal"/>
        <w:numPr>
          <w:ilvl w:val="0"/>
          <w:numId w:val="19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Устойчив к выбросам и шуму</w:t>
      </w:r>
    </w:p>
    <w:p>
      <w:pPr>
        <w:pStyle w:val="Normal"/>
        <w:numPr>
          <w:ilvl w:val="0"/>
          <w:numId w:val="19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Даёт оценку важности признаков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Гиперпараметры:</w:t>
      </w:r>
    </w:p>
    <w:p>
      <w:pPr>
        <w:pStyle w:val="Normal"/>
        <w:numPr>
          <w:ilvl w:val="0"/>
          <w:numId w:val="20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Число деревьев (n_estimators)</w:t>
      </w:r>
    </w:p>
    <w:p>
      <w:pPr>
        <w:pStyle w:val="Normal"/>
        <w:numPr>
          <w:ilvl w:val="0"/>
          <w:numId w:val="20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Максимальная глубина (max_depth)</w:t>
      </w:r>
    </w:p>
    <w:p>
      <w:pPr>
        <w:pStyle w:val="Normal"/>
        <w:numPr>
          <w:ilvl w:val="0"/>
          <w:numId w:val="20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Минимальное число объектов в листе (min_samples_leaf)</w:t>
      </w:r>
    </w:p>
    <w:p>
      <w:pPr>
        <w:pStyle w:val="Normal"/>
        <w:numPr>
          <w:ilvl w:val="0"/>
          <w:numId w:val="20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Количество признаков для разбиения (max_features)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Оценка качества прогноза.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  <w:t>Precision (Точность).</w:t>
      </w:r>
      <w:r>
        <w:rPr>
          <w:rFonts w:cs="Times New Roman" w:ascii="Times New Roman" w:hAnsi="Times New Roman"/>
          <w:bCs/>
          <w:sz w:val="28"/>
          <w:szCs w:val="28"/>
        </w:rPr>
        <w:t xml:space="preserve"> Доля корректно предсказанных положительных среди всех, кого модель назвала положительными: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i/>
          <w:i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P</m:t>
          </m:r>
          <m:r>
            <w:rPr>
              <w:rFonts w:ascii="Cambria Math" w:hAnsi="Cambria Math"/>
            </w:rPr>
            <m:t xml:space="preserve">recision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TP</m:t>
              </m:r>
            </m:num>
            <m:den>
              <m:r>
                <w:rPr>
                  <w:rFonts w:ascii="Cambria Math" w:hAnsi="Cambria Math"/>
                </w:rPr>
                <m:t xml:space="preserve">TP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FP</m:t>
              </m:r>
            </m:den>
          </m:f>
        </m:oMath>
      </m:oMathPara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→ </w:t>
      </w:r>
      <w:r>
        <w:rPr>
          <w:rFonts w:cs="Times New Roman" w:ascii="Times New Roman" w:hAnsi="Times New Roman"/>
          <w:bCs/>
          <w:sz w:val="28"/>
          <w:szCs w:val="28"/>
        </w:rPr>
        <w:t>Важна, когда ложные срабатывания (FP) дорого стоят.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  <w:t>Recall (Полнота, Sensitivity).</w:t>
      </w:r>
      <w:r>
        <w:rPr>
          <w:rFonts w:cs="Times New Roman" w:ascii="Times New Roman" w:hAnsi="Times New Roman"/>
          <w:bCs/>
          <w:sz w:val="28"/>
          <w:szCs w:val="28"/>
        </w:rPr>
        <w:t xml:space="preserve"> Доля найденных положительных среди всех реальных положительных: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i/>
          <w:i/>
          <w:sz w:val="28"/>
          <w:szCs w:val="28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R</m:t>
          </m:r>
          <m:r>
            <w:rPr>
              <w:rFonts w:ascii="Cambria Math" w:hAnsi="Cambria Math"/>
            </w:rPr>
            <m:t xml:space="preserve">ecall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TP</m:t>
              </m:r>
            </m:num>
            <m:den>
              <m:r>
                <w:rPr>
                  <w:rFonts w:ascii="Cambria Math" w:hAnsi="Cambria Math"/>
                </w:rPr>
                <m:t xml:space="preserve">TP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FN</m:t>
              </m:r>
            </m:den>
          </m:f>
        </m:oMath>
      </m:oMathPara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→ </w:t>
      </w:r>
      <w:r>
        <w:rPr>
          <w:rFonts w:cs="Times New Roman" w:ascii="Times New Roman" w:hAnsi="Times New Roman"/>
          <w:bCs/>
          <w:sz w:val="28"/>
          <w:szCs w:val="28"/>
        </w:rPr>
        <w:t>Важна, когда пропуск положительного случая критичен (например, диагностика рака).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  <w:t>F1-score.</w:t>
      </w:r>
      <w:r>
        <w:rPr>
          <w:rFonts w:cs="Times New Roman" w:ascii="Times New Roman" w:hAnsi="Times New Roman"/>
          <w:bCs/>
          <w:sz w:val="28"/>
          <w:szCs w:val="28"/>
        </w:rPr>
        <w:t xml:space="preserve"> Гармоническое среднее precision и recall: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i/>
          <w:i/>
          <w:sz w:val="28"/>
          <w:szCs w:val="28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F</m:t>
          </m:r>
          <m:r>
            <w:rPr>
              <w:rFonts w:ascii="Cambria Math" w:hAnsi="Cambria Math"/>
            </w:rPr>
            <m:t xml:space="preserve">1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2</m:t>
          </m:r>
          <m:r>
            <w:rPr>
              <w:rFonts w:ascii="Cambria Math" w:hAnsi="Cambria Math"/>
            </w:rPr>
            <m:t xml:space="preserve">∙</m:t>
          </m:r>
          <m:f>
            <m:num>
              <m:r>
                <w:rPr>
                  <w:rFonts w:ascii="Cambria Math" w:hAnsi="Cambria Math"/>
                </w:rPr>
                <m:t xml:space="preserve">Precision</m:t>
              </m:r>
              <m:r>
                <w:rPr>
                  <w:rFonts w:ascii="Cambria Math" w:hAnsi="Cambria Math"/>
                </w:rPr>
                <m:t xml:space="preserve">∙</m:t>
              </m:r>
              <m:r>
                <w:rPr>
                  <w:rFonts w:ascii="Cambria Math" w:hAnsi="Cambria Math"/>
                </w:rPr>
                <m:t xml:space="preserve">Recall</m:t>
              </m:r>
            </m:num>
            <m:den>
              <m:r>
                <w:rPr>
                  <w:rFonts w:ascii="Cambria Math" w:hAnsi="Cambria Math"/>
                </w:rPr>
                <m:t xml:space="preserve">Precision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Recall</m:t>
              </m:r>
            </m:den>
          </m:f>
        </m:oMath>
      </m:oMathPara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→ </w:t>
      </w:r>
      <w:r>
        <w:rPr>
          <w:rFonts w:cs="Times New Roman" w:ascii="Times New Roman" w:hAnsi="Times New Roman"/>
          <w:bCs/>
          <w:sz w:val="28"/>
          <w:szCs w:val="28"/>
        </w:rPr>
        <w:t>Баланс между точностью и полнотой. Особенно полезен при несбалансированных классах.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  <w:lang w:val="en-US"/>
        </w:rPr>
        <w:t>ROC-AUC (Area Under the ROC Curve).</w:t>
      </w:r>
    </w:p>
    <w:p>
      <w:pPr>
        <w:pStyle w:val="Normal"/>
        <w:numPr>
          <w:ilvl w:val="0"/>
          <w:numId w:val="21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ROC-кривая строится по разным порогам классификации.</w:t>
      </w:r>
    </w:p>
    <w:p>
      <w:pPr>
        <w:pStyle w:val="Normal"/>
        <w:numPr>
          <w:ilvl w:val="0"/>
          <w:numId w:val="21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AUC = 1 — идеальная разделимость классов</w:t>
      </w:r>
    </w:p>
    <w:p>
      <w:pPr>
        <w:pStyle w:val="Normal"/>
        <w:numPr>
          <w:ilvl w:val="0"/>
          <w:numId w:val="21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AUC = 0.5 — модель не лучше случайного угадывания</w:t>
      </w:r>
    </w:p>
    <w:p>
      <w:pPr>
        <w:pStyle w:val="Normal"/>
        <w:numPr>
          <w:ilvl w:val="0"/>
          <w:numId w:val="21"/>
        </w:numPr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Инвариантна к порогу и устойчива к дисбалансу классов, но может вводить в заблуждение при сильном дисбалансе → в таких случаях лучше использовать PR-AUC (Precision-Recall AUC).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Heading1"/>
        <w:spacing w:lineRule="auto" w:line="360"/>
        <w:jc w:val="both"/>
        <w:rPr>
          <w:rFonts w:ascii="Times New Roman" w:hAnsi="Times New Roman" w:cs="Times New Roman"/>
          <w:bCs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bCs/>
          <w:color w:themeColor="text1" w:val="000000"/>
          <w:sz w:val="28"/>
          <w:szCs w:val="28"/>
        </w:rPr>
      </w:r>
    </w:p>
    <w:p>
      <w:pPr>
        <w:pStyle w:val="Heading1"/>
        <w:spacing w:lineRule="auto" w:line="360"/>
        <w:jc w:val="both"/>
        <w:rPr>
          <w:rFonts w:ascii="Times New Roman" w:hAnsi="Times New Roman" w:cs="Times New Roman"/>
          <w:bCs/>
          <w:color w:themeColor="text1" w:val="000000"/>
          <w:sz w:val="28"/>
          <w:szCs w:val="28"/>
        </w:rPr>
      </w:pPr>
      <w:r>
        <w:br w:type="column"/>
      </w:r>
      <w:bookmarkStart w:id="3" w:name="_Toc211609296"/>
      <w:r>
        <w:rPr>
          <w:rFonts w:cs="Times New Roman" w:ascii="Times New Roman" w:hAnsi="Times New Roman"/>
          <w:bCs/>
          <w:color w:themeColor="text1" w:val="000000"/>
          <w:sz w:val="28"/>
          <w:szCs w:val="28"/>
        </w:rPr>
        <w:t>Процесс и результаты работы.</w:t>
      </w:r>
      <w:bookmarkEnd w:id="3"/>
    </w:p>
    <w:p>
      <w:pPr>
        <w:pStyle w:val="Heading2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bookmarkStart w:id="4" w:name="_Toc211609297"/>
      <w:r>
        <w:rPr>
          <w:rStyle w:val="2"/>
          <w:rFonts w:cs="Times New Roman" w:ascii="Times New Roman" w:hAnsi="Times New Roman"/>
          <w:bCs/>
          <w:color w:val="auto"/>
          <w:sz w:val="28"/>
          <w:szCs w:val="28"/>
        </w:rPr>
        <w:t>Подготовка данных</w:t>
      </w:r>
      <w:r>
        <w:rPr>
          <w:rFonts w:cs="Times New Roman" w:ascii="Times New Roman" w:hAnsi="Times New Roman"/>
          <w:bCs/>
          <w:sz w:val="28"/>
          <w:szCs w:val="28"/>
        </w:rPr>
        <w:t>.</w:t>
      </w:r>
      <w:bookmarkEnd w:id="4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</w:rPr>
        <w:t>Датасет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 xml:space="preserve">: </w:t>
      </w:r>
      <w:r>
        <w:rPr>
          <w:rFonts w:eastAsia="Calibri" w:cs="Times New Roman" w:ascii="Times New Roman" w:hAnsi="Times New Roman" w:eastAsiaTheme="minorHAnsi"/>
          <w:b/>
          <w:bCs/>
          <w:i w:val="false"/>
          <w:caps w:val="false"/>
          <w:smallCaps w:val="false"/>
          <w:color w:val="202124"/>
          <w:spacing w:val="0"/>
          <w:sz w:val="28"/>
          <w:szCs w:val="28"/>
          <w:lang w:val="en-US"/>
          <w14:ligatures w14:val="standardContextual"/>
        </w:rPr>
        <w:t>Rain in Australia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Размер: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145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000</w:t>
      </w:r>
      <w:r>
        <w:rPr>
          <w:rFonts w:cs="Times New Roman" w:ascii="Times New Roman" w:hAnsi="Times New Roman"/>
          <w:bCs/>
          <w:sz w:val="28"/>
          <w:szCs w:val="28"/>
        </w:rPr>
        <w:t xml:space="preserve"> записей,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23</w:t>
      </w:r>
      <w:r>
        <w:rPr>
          <w:rFonts w:cs="Times New Roman" w:ascii="Times New Roman" w:hAnsi="Times New Roman"/>
          <w:bCs/>
          <w:sz w:val="28"/>
          <w:szCs w:val="28"/>
        </w:rPr>
        <w:t xml:space="preserve"> признаков (считая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data</w:t>
      </w:r>
      <w:r>
        <w:rPr>
          <w:rFonts w:cs="Times New Roman" w:ascii="Times New Roman" w:hAnsi="Times New Roman"/>
          <w:bCs/>
          <w:sz w:val="28"/>
          <w:szCs w:val="28"/>
        </w:rPr>
        <w:t>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Выполнена проверка на дубликаты (не обнаружено).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sz w:val="28"/>
          <w:szCs w:val="28"/>
          <w:lang w:val="ru-RU"/>
        </w:rPr>
        <w:t xml:space="preserve">Удалено строк со значениями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NaN: 89 040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Информация о датасете: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&lt;class 'pandas.core.frame.DataFrame'&gt;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Index: 56420 entries, 6049 to 142302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 columns (total 23 columns):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#   Column        Non-Null Count  Dtype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---  ------        --------------  -----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0   Date          56420 non-null  object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1   Loc           56420 non-null  object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2   MinT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3   MaxT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4   Rain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5   Evap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6   Sun 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7   WGDir         56420 non-null  object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8   WGSpeed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9   WD9am         56420 non-null  object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10  WD3pm         56420 non-null  object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11  WS9am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12  WS3pm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13  H9am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14  H3pm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15  P9am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16  P3pm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17  C9am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18  C3pm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19  T9am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>20  T3pm          56420 non-null  float64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21  RainToday     56420 non-null  object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22  RainTomorrow  56420 non-null  object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dtypes: float64(16), object(7)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memory usage: 10.3+ MB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Далее будет приведена диаграмма рассеяния числовых признаков. Она показывает взаимосвязь между двумя числовыми переменными в датасете.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-1079500</wp:posOffset>
            </wp:positionH>
            <wp:positionV relativeFrom="paragraph">
              <wp:posOffset>-136525</wp:posOffset>
            </wp:positionV>
            <wp:extent cx="7559675" cy="75596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755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Cs/>
          <w:i/>
          <w:iCs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i/>
          <w:i/>
          <w:iCs/>
          <w:sz w:val="28"/>
          <w:szCs w:val="28"/>
        </w:rPr>
      </w:pPr>
      <w:r>
        <w:br w:type="column"/>
      </w:r>
      <w:r>
        <w:rPr>
          <w:rFonts w:cs="Times New Roman" w:ascii="Times New Roman" w:hAnsi="Times New Roman"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-1079500</wp:posOffset>
            </wp:positionH>
            <wp:positionV relativeFrom="paragraph">
              <wp:posOffset>15875</wp:posOffset>
            </wp:positionV>
            <wp:extent cx="7559675" cy="7562850"/>
            <wp:effectExtent l="0" t="0" r="0" b="0"/>
            <wp:wrapSquare wrapText="largest"/>
            <wp:docPr id="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756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i/>
          <w:i/>
          <w:iCs/>
          <w:sz w:val="28"/>
          <w:szCs w:val="28"/>
        </w:rPr>
      </w:pPr>
      <w:r>
        <w:br w:type="column"/>
      </w:r>
      <w:r>
        <w:rPr>
          <w:rFonts w:cs="Times New Roman" w:ascii="Times New Roman" w:hAnsi="Times New Roman"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7562850"/>
            <wp:effectExtent l="0" t="0" r="0" b="0"/>
            <wp:wrapSquare wrapText="largest"/>
            <wp:docPr id="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756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i/>
          <w:i/>
          <w:iCs/>
          <w:sz w:val="28"/>
          <w:szCs w:val="28"/>
        </w:rPr>
      </w:pPr>
      <w:r>
        <w:br w:type="column"/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7560310"/>
            <wp:effectExtent l="0" t="0" r="0" b="0"/>
            <wp:wrapSquare wrapText="largest"/>
            <wp:docPr id="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756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/>
          <w:iCs/>
          <w:sz w:val="28"/>
          <w:szCs w:val="28"/>
        </w:rPr>
        <w:t>Рисунок 1-</w:t>
      </w:r>
      <w:r>
        <w:rPr>
          <w:rFonts w:cs="Times New Roman" w:ascii="Times New Roman" w:hAnsi="Times New Roman"/>
          <w:bCs/>
          <w:i/>
          <w:iCs/>
          <w:sz w:val="28"/>
          <w:szCs w:val="28"/>
        </w:rPr>
        <w:t>4</w:t>
      </w:r>
      <w:r>
        <w:rPr>
          <w:rFonts w:cs="Times New Roman" w:ascii="Times New Roman" w:hAnsi="Times New Roman"/>
          <w:bCs/>
          <w:i/>
          <w:iCs/>
          <w:sz w:val="28"/>
          <w:szCs w:val="28"/>
        </w:rPr>
        <w:t xml:space="preserve"> – Диаграммы рассеяния.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Далее будет представлена матрица корреляций признаков. Каждая ячейка матрицы показывает коэффициент корреляции Пирсона между двумя признаками. Коэффициент корреляции — это число от -1 до +1, которое говорит о том, насколько признаки линейно связаны друг с другом.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+1.00 – идеальная положительная линейная связь (если один растёт — другой растёт точно так же)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~0.0–0.2 – очень слабая или нет связи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–</w:t>
      </w:r>
      <w:r>
        <w:rPr>
          <w:rFonts w:cs="Times New Roman" w:ascii="Times New Roman" w:hAnsi="Times New Roman"/>
          <w:bCs/>
          <w:sz w:val="28"/>
          <w:szCs w:val="28"/>
        </w:rPr>
        <w:t>1.00 – идеальная отрицательная линейная связь (если один растёт — другой падает).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330825"/>
            <wp:effectExtent l="0" t="0" r="0" b="0"/>
            <wp:wrapSquare wrapText="largest"/>
            <wp:docPr id="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Cs/>
          <w:i/>
          <w:iCs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bCs/>
          <w:i/>
          <w:iCs/>
          <w:sz w:val="28"/>
          <w:szCs w:val="28"/>
          <w:lang w:val="en-US"/>
        </w:rPr>
        <w:t>5</w:t>
      </w:r>
      <w:r>
        <w:rPr>
          <w:rFonts w:cs="Times New Roman" w:ascii="Times New Roman" w:hAnsi="Times New Roman"/>
          <w:bCs/>
          <w:i/>
          <w:iCs/>
          <w:sz w:val="28"/>
          <w:szCs w:val="28"/>
        </w:rPr>
        <w:t xml:space="preserve"> – Матрица корреляций.</w:t>
      </w:r>
    </w:p>
    <w:p>
      <w:pPr>
        <w:pStyle w:val="Heading1"/>
        <w:rPr/>
      </w:pPr>
      <w:bookmarkStart w:id="5" w:name="_Toc211609298"/>
      <w:r>
        <w:rPr>
          <w:rStyle w:val="2"/>
          <w:rFonts w:cs="Times New Roman" w:ascii="Times New Roman" w:hAnsi="Times New Roman"/>
          <w:b/>
          <w:bCs/>
          <w:color w:val="auto"/>
          <w:sz w:val="28"/>
          <w:szCs w:val="28"/>
        </w:rPr>
        <w:t>Обучение моделей</w:t>
      </w:r>
      <w:r>
        <w:rPr>
          <w:rFonts w:cs="Times New Roman" w:ascii="Times New Roman" w:hAnsi="Times New Roman"/>
          <w:b/>
          <w:bCs/>
          <w:sz w:val="28"/>
          <w:szCs w:val="28"/>
        </w:rPr>
        <w:t>.</w:t>
      </w:r>
      <w:bookmarkEnd w:id="5"/>
    </w:p>
    <w:p>
      <w:pPr>
        <w:pStyle w:val="Heading3"/>
        <w:spacing w:lineRule="auto" w:line="360"/>
        <w:rPr>
          <w:b/>
          <w:bCs/>
        </w:rPr>
      </w:pPr>
      <w:bookmarkStart w:id="6" w:name="_Toc211609299"/>
      <w:r>
        <w:rPr>
          <w:rFonts w:cs="Times New Roman" w:ascii="Times New Roman" w:hAnsi="Times New Roman"/>
          <w:b/>
          <w:bCs/>
          <w:color w:val="auto"/>
          <w:lang w:val="en-US"/>
        </w:rPr>
        <w:t>KNN</w:t>
      </w:r>
      <w:bookmarkEnd w:id="6"/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Оптимальное n_neighbors: 15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Лучшая точность CV: 0.8501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4135120"/>
                <wp:effectExtent l="0" t="0" r="0" b="0"/>
                <wp:wrapSquare wrapText="largest"/>
                <wp:docPr id="6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41351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6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782060"/>
                                  <wp:effectExtent l="0" t="0" r="0" b="0"/>
                                  <wp:docPr id="7" name="Изображение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782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ab/>
                              <w:tab/>
                              <w:tab/>
                              <w:t xml:space="preserve">Рисунок </w:t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t>: Точность модели от количества соседей</w:t>
                            </w:r>
                            <w:r>
                              <w:rPr/>
                              <w:t>6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325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6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782060"/>
                            <wp:effectExtent l="0" t="0" r="0" b="0"/>
                            <wp:docPr id="8" name="Изображение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782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ab/>
                        <w:tab/>
                        <w:tab/>
                        <w:t xml:space="preserve">Рисунок </w:t>
                      </w:r>
                      <w:r>
                        <w:rPr/>
                        <w:t>6</w:t>
                      </w:r>
                      <w:r>
                        <w:rPr/>
                        <w:t>: Точность модели от количества соседей</w:t>
                      </w:r>
                      <w:r>
                        <w:rPr/>
                        <w:t>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=== РЕЗУЛЬТАТЫ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KNN</w:t>
      </w:r>
      <w:r>
        <w:rPr>
          <w:rFonts w:cs="Times New Roman" w:ascii="Times New Roman" w:hAnsi="Times New Roman"/>
          <w:bCs/>
          <w:sz w:val="28"/>
          <w:szCs w:val="28"/>
        </w:rPr>
        <w:t xml:space="preserve"> ===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  <w:t>Accuracy:  0.8551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  <w:t>Precision: 0.7607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  <w:t>Recall:    0.4990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  <w:t>F1-Score:  0.6027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  <w:t>ROC-AUC:   0.8746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ROC-AUC: 0.7723 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-541020</wp:posOffset>
                </wp:positionH>
                <wp:positionV relativeFrom="paragraph">
                  <wp:posOffset>19685</wp:posOffset>
                </wp:positionV>
                <wp:extent cx="7020560" cy="1859280"/>
                <wp:effectExtent l="0" t="0" r="0" b="0"/>
                <wp:wrapSquare wrapText="largest"/>
                <wp:docPr id="9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8592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6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7020560" cy="1780540"/>
                                  <wp:effectExtent l="0" t="0" r="0" b="0"/>
                                  <wp:docPr id="10" name="Изображение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Изображение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20560" cy="1780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ab/>
                              <w:tab/>
                              <w:tab/>
                              <w:tab/>
                              <w:t xml:space="preserve">Рисунок </w:t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t>: Матрица ошибок KNN и ROC-кривая.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52.8pt;height:146.4pt;mso-wrap-distance-left:0pt;mso-wrap-distance-right:0pt;mso-wrap-distance-top:0pt;mso-wrap-distance-bottom:0pt;margin-top:1.55pt;mso-position-vertical-relative:text;margin-left:-42.6pt;mso-position-horizontal-relative:text">
                <v:textbox inset="0in,0in,0in,0in">
                  <w:txbxContent>
                    <w:p>
                      <w:pPr>
                        <w:pStyle w:val="Style16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7020560" cy="1780540"/>
                            <wp:effectExtent l="0" t="0" r="0" b="0"/>
                            <wp:docPr id="11" name="Изображение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Изображение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20560" cy="1780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ab/>
                        <w:tab/>
                        <w:tab/>
                        <w:tab/>
                        <w:t xml:space="preserve">Рисунок </w:t>
                      </w:r>
                      <w:r>
                        <w:rPr/>
                        <w:t>7</w:t>
                      </w:r>
                      <w:r>
                        <w:rPr/>
                        <w:t>: Матрица ошибок KNN и ROC-кривая.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3"/>
        <w:spacing w:lineRule="auto" w:line="360"/>
        <w:rPr>
          <w:bCs/>
        </w:rPr>
      </w:pPr>
      <w:bookmarkStart w:id="7" w:name="_Toc211609300"/>
      <w:r>
        <w:rPr>
          <w:rFonts w:cs="Times New Roman" w:ascii="Times New Roman" w:hAnsi="Times New Roman"/>
          <w:b/>
          <w:bCs/>
          <w:color w:val="auto"/>
          <w:lang w:val="en-US"/>
        </w:rPr>
        <w:t>SVM</w:t>
      </w:r>
      <w:bookmarkEnd w:id="7"/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МЕТРИКИ МОДЕЛИ SVM: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  <w:t>Accuracy:  0.8538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  <w:t>Precision: 0.7873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</w:pPr>
      <w:r>
        <w:rPr>
          <w:rFonts w:eastAsia="Times New Roman" w:cs="Times New Roman" w:ascii="Times New Roman" w:hAnsi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  <w:t>Recall:    0.4604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</w:pPr>
      <w:r>
        <w:rPr>
          <w:rFonts w:eastAsia="Times New Roman" w:cs="Times New Roman" w:ascii="Times New Roman" w:hAnsi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  <w:t>F1-Score:  0.5810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</w:pPr>
      <w:r>
        <w:rPr>
          <w:rFonts w:eastAsia="Times New Roman" w:cs="Times New Roman" w:ascii="Times New Roman" w:hAnsi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  <w:t>ROC-AUC:   0.8779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</w:pPr>
      <w:r>
        <w:rPr>
          <w:rFonts w:eastAsia="Times New Roman" w:cs="Times New Roman" w:ascii="Times New Roman" w:hAnsi="Times New Roman"/>
          <w:bCs/>
          <w:color w:val="1F1F1F"/>
          <w:kern w:val="0"/>
          <w:sz w:val="28"/>
          <w:szCs w:val="28"/>
          <w:shd w:fill="FFFFFF" w:val="clear"/>
          <w:lang w:val="en-US" w:eastAsia="ru-RU"/>
          <w14:ligatures w14:val="none"/>
        </w:rPr>
        <w:t>Параметры модели: kernel=rbf, C=1.0, gamma=scale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7020560" cy="1906905"/>
                <wp:effectExtent l="0" t="0" r="0" b="0"/>
                <wp:wrapSquare wrapText="largest"/>
                <wp:docPr id="12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9069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6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7020560" cy="1837055"/>
                                  <wp:effectExtent l="0" t="0" r="0" b="0"/>
                                  <wp:docPr id="13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20560" cy="1837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ab/>
                              <w:tab/>
                              <w:tab/>
                              <w:tab/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8</w:t>
                            </w:r>
                            <w:r>
                              <w:rPr/>
                              <w:t>: Матрица ошибок и кривые SVM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52.8pt;height:150.15pt;mso-wrap-distance-left:0pt;mso-wrap-distance-right:0pt;mso-wrap-distance-top:0pt;mso-wrap-distance-bottom:0pt;margin-top:0pt;mso-position-vertical:top;mso-position-vertical-relative:text;margin-left:-42.6pt;mso-position-horizontal:center;mso-position-horizontal-relative:text">
                <v:textbox inset="0in,0in,0in,0in">
                  <w:txbxContent>
                    <w:p>
                      <w:pPr>
                        <w:pStyle w:val="Style16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7020560" cy="1837055"/>
                            <wp:effectExtent l="0" t="0" r="0" b="0"/>
                            <wp:docPr id="14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20560" cy="1837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ab/>
                        <w:tab/>
                        <w:tab/>
                        <w:tab/>
                        <w:t xml:space="preserve">Рисунок </w:t>
                      </w:r>
                      <w:r>
                        <w:rPr>
                          <w:lang w:val="en-US"/>
                        </w:rPr>
                        <w:t>8</w:t>
                      </w:r>
                      <w:r>
                        <w:rPr/>
                        <w:t>: Матрица ошибок и кривые SVM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/>
      </w:r>
    </w:p>
    <w:p>
      <w:pPr>
        <w:pStyle w:val="Heading3"/>
        <w:spacing w:lineRule="auto" w:line="360"/>
        <w:rPr>
          <w:rFonts w:ascii="Times New Roman" w:hAnsi="Times New Roman" w:cs="Times New Roman"/>
          <w:b/>
          <w:bCs/>
          <w:color w:val="auto"/>
        </w:rPr>
      </w:pPr>
      <w:r>
        <w:rPr>
          <w:rFonts w:cs="Times New Roman" w:ascii="Times New Roman" w:hAnsi="Times New Roman"/>
          <w:b/>
          <w:bCs/>
          <w:color w:val="auto"/>
        </w:rPr>
      </w:r>
    </w:p>
    <w:p>
      <w:pPr>
        <w:pStyle w:val="Heading3"/>
        <w:spacing w:lineRule="auto" w:line="360"/>
        <w:rPr/>
      </w:pPr>
      <w:r>
        <w:br w:type="column"/>
      </w:r>
      <w:r>
        <w:rPr>
          <w:rFonts w:cs="Times New Roman" w:ascii="Times New Roman" w:hAnsi="Times New Roman"/>
          <w:b/>
          <w:bCs/>
          <w:color w:val="auto"/>
        </w:rPr>
        <w:t>Случайный лес</w:t>
      </w:r>
      <w:bookmarkStart w:id="8" w:name="_Toc211609301"/>
      <w:r>
        <w:rPr>
          <w:rFonts w:cs="Times New Roman" w:ascii="Times New Roman" w:hAnsi="Times New Roman"/>
          <w:b/>
          <w:bCs/>
          <w:color w:val="auto"/>
        </w:rPr>
        <w:t>.</w:t>
      </w:r>
      <w:bookmarkEnd w:id="8"/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28"/>
          <w:szCs w:val="28"/>
          <w:lang w:val="en-US" w:eastAsia="ru-RU"/>
          <w14:ligatures w14:val="none"/>
        </w:rPr>
        <w:t>Лучшие параметры: {'criterion': 'entropy', 'max_depth': 7, 'min_samples_leaf': 2, 'min_samples_split': 2}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28"/>
          <w:szCs w:val="28"/>
          <w:lang w:val="en-US" w:eastAsia="ru-RU"/>
          <w14:ligatures w14:val="none"/>
        </w:rPr>
        <w:t>Лучшая точность CV: 0.8467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bCs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28"/>
          <w:szCs w:val="28"/>
          <w:lang w:eastAsia="ru-RU"/>
          <w14:ligatures w14:val="none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-445135</wp:posOffset>
                </wp:positionH>
                <wp:positionV relativeFrom="paragraph">
                  <wp:posOffset>23495</wp:posOffset>
                </wp:positionV>
                <wp:extent cx="6376035" cy="2108200"/>
                <wp:effectExtent l="0" t="0" r="0" b="0"/>
                <wp:wrapSquare wrapText="largest"/>
                <wp:docPr id="15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6035" cy="21082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6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7012305" cy="1833880"/>
                                  <wp:effectExtent l="0" t="0" r="0" b="0"/>
                                  <wp:docPr id="16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12305" cy="1833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ab/>
                              <w:tab/>
                              <w:tab/>
                              <w:tab/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rPr/>
                              <w:t>: Матрица и кривые Random forest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02.05pt;height:166pt;mso-wrap-distance-left:0pt;mso-wrap-distance-right:0pt;mso-wrap-distance-top:0pt;mso-wrap-distance-bottom:0pt;margin-top:1.85pt;mso-position-vertical-relative:text;margin-left:-35.05pt;mso-position-horizontal-relative:text">
                <v:textbox inset="0in,0in,0in,0in">
                  <w:txbxContent>
                    <w:p>
                      <w:pPr>
                        <w:pStyle w:val="Style16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7012305" cy="1833880"/>
                            <wp:effectExtent l="0" t="0" r="0" b="0"/>
                            <wp:docPr id="17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12305" cy="1833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ab/>
                        <w:tab/>
                        <w:tab/>
                        <w:tab/>
                        <w:t xml:space="preserve">Рисунок </w:t>
                      </w:r>
                      <w:r>
                        <w:rPr>
                          <w:lang w:val="en-US"/>
                        </w:rPr>
                        <w:t>9</w:t>
                      </w:r>
                      <w:r>
                        <w:rPr/>
                        <w:t>: Матрица и кривые Random forest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hanging="0" w:left="-1134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-540385</wp:posOffset>
                </wp:positionH>
                <wp:positionV relativeFrom="paragraph">
                  <wp:posOffset>635</wp:posOffset>
                </wp:positionV>
                <wp:extent cx="6300470" cy="4023360"/>
                <wp:effectExtent l="0" t="0" r="0" b="0"/>
                <wp:wrapSquare wrapText="largest"/>
                <wp:docPr id="18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40233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6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7315835" cy="3896995"/>
                                  <wp:effectExtent l="0" t="0" r="0" b="0"/>
                                  <wp:docPr id="19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15835" cy="3896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ab/>
                              <w:tab/>
                              <w:tab/>
                              <w:tab/>
                              <w:tab/>
                              <w:t xml:space="preserve">Рисунок </w:t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t>: Пример одного из деревьев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316.8pt;mso-wrap-distance-left:0pt;mso-wrap-distance-right:0pt;mso-wrap-distance-top:0pt;mso-wrap-distance-bottom:0pt;margin-top:0pt;mso-position-vertical-relative:text;margin-left:-42.55pt;mso-position-horizontal-relative:text">
                <v:textbox inset="0in,0in,0in,0in">
                  <w:txbxContent>
                    <w:p>
                      <w:pPr>
                        <w:pStyle w:val="Style16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7315835" cy="3896995"/>
                            <wp:effectExtent l="0" t="0" r="0" b="0"/>
                            <wp:docPr id="20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15835" cy="3896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ab/>
                        <w:tab/>
                        <w:tab/>
                        <w:tab/>
                        <w:tab/>
                        <w:t xml:space="preserve">Рисунок </w:t>
                      </w:r>
                      <w:r>
                        <w:rPr/>
                        <w:t>10</w:t>
                      </w:r>
                      <w:r>
                        <w:rPr/>
                        <w:t>: Пример одного из деревьев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hanging="1134"/>
        <w:rPr>
          <w:rFonts w:ascii="Times New Roman" w:hAnsi="Times New Roman" w:cs="Times New Roman"/>
          <w:bCs/>
          <w:sz w:val="28"/>
          <w:szCs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-1080135</wp:posOffset>
                </wp:positionH>
                <wp:positionV relativeFrom="paragraph">
                  <wp:posOffset>19685</wp:posOffset>
                </wp:positionV>
                <wp:extent cx="7559675" cy="3943985"/>
                <wp:effectExtent l="0" t="0" r="0" b="0"/>
                <wp:wrapSquare wrapText="largest"/>
                <wp:docPr id="21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675" cy="39439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6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7559675" cy="4509135"/>
                                  <wp:effectExtent l="0" t="0" r="0" b="0"/>
                                  <wp:docPr id="22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9675" cy="4509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ab/>
                              <w:tab/>
                              <w:tab/>
                              <w:tab/>
                              <w:tab/>
                              <w:t xml:space="preserve">Рисунок </w:t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t>: Топ 10 самых влиятельных параметров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95.25pt;height:310.55pt;mso-wrap-distance-left:0pt;mso-wrap-distance-right:0pt;mso-wrap-distance-top:0pt;mso-wrap-distance-bottom:0pt;margin-top:1.55pt;mso-position-vertical-relative:text;margin-left:-85.05pt;mso-position-horizontal-relative:text">
                <v:textbox inset="0in,0in,0in,0in">
                  <w:txbxContent>
                    <w:p>
                      <w:pPr>
                        <w:pStyle w:val="Style16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7559675" cy="4509135"/>
                            <wp:effectExtent l="0" t="0" r="0" b="0"/>
                            <wp:docPr id="23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9675" cy="4509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ab/>
                        <w:tab/>
                        <w:tab/>
                        <w:tab/>
                        <w:tab/>
                        <w:t xml:space="preserve">Рисунок </w:t>
                      </w:r>
                      <w:r>
                        <w:rPr/>
                        <w:t>11</w:t>
                      </w:r>
                      <w:r>
                        <w:rPr/>
                        <w:t>: Топ 10 самых влиятельных параметров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spacing w:lineRule="auto" w:line="360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21160930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Оценка моделей.</w:t>
      </w:r>
      <w:bookmarkEnd w:id="9"/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Ниже будут представлены результаты сравнения моделей </w:t>
      </w:r>
      <w:r>
        <w:rPr>
          <w:rFonts w:cs="Times New Roman" w:ascii="Times New Roman" w:hAnsi="Times New Roman"/>
          <w:sz w:val="28"/>
          <w:szCs w:val="28"/>
          <w:lang w:val="en-US"/>
        </w:rPr>
        <w:t>KNN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SVM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val="en-US" w:eastAsia="ru-RU"/>
          <w14:ligatures w14:val="none"/>
        </w:rPr>
        <w:t>Random Forest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=== ЛУЧШАЯ МОДЕЛЬ: Random Forest ===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Точность: 0.8611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Лучшие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параметры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val="en-US" w:eastAsia="ru-RU"/>
          <w14:ligatures w14:val="none"/>
        </w:rPr>
        <w:t>: {</w:t>
      </w:r>
      <w:r>
        <w:rPr>
          <w:rFonts w:eastAsia="Times New Roman" w:cs="Times New Roman" w:ascii="Times New Roman" w:hAnsi="Times New Roman"/>
          <w:bCs/>
          <w:kern w:val="0"/>
          <w:sz w:val="28"/>
          <w:szCs w:val="28"/>
          <w:lang w:val="en-US" w:eastAsia="ru-RU"/>
          <w14:ligatures w14:val="none"/>
        </w:rPr>
        <w:t>'criterion': 'entropy', 'max_depth': 7, 'min_samples_leaf': 2, 'min_samples_split': 2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val="en-US" w:eastAsia="ru-RU"/>
          <w14:ligatures w14:val="none"/>
        </w:rPr>
        <w:t>}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val="en-US" w:eastAsia="ru-RU"/>
          <w14:ligatures w14:val="none"/>
        </w:rPr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=== СТАТИСТИКА СРАВНЕНИЯ ===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Разница между лучшей и худшей моделью по точности: 0.0073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 xml:space="preserve">Средняя точность всех моделей: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0.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8566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br w:type="column"/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СРАВНЕНИЕ МОДЕЛЕЙ ПО МЕТРИКАМ: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===========================================================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 xml:space="preserve">       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 xml:space="preserve">Model  </w:t>
        <w:tab/>
        <w:t>Accuracy  Precision  Recall  F1-Score  ROC-AUC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 xml:space="preserve">         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 xml:space="preserve">KNN    </w:t>
        <w:tab/>
        <w:t>0.8551      0.7607      0.4990    0.6027   0.8746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 xml:space="preserve">         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 xml:space="preserve">SVM    </w:t>
        <w:tab/>
        <w:t>0.8538      0.7873      0.4604    0.5810   0.8779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/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Random Forest</w:t>
        <w:tab/>
        <w:t>0.8611      0.7703      0.5264    0.6254   0.8955</w:t>
      </w:r>
    </w:p>
    <w:p>
      <w:pPr>
        <w:pStyle w:val="Normal"/>
        <w:shd w:val="clear" w:color="auto" w:fill="FFFFFF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Times New Roman" w:hAnsi="Times New Roman" w:cs="Times New Roman"/>
          <w:b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-1080135</wp:posOffset>
            </wp:positionH>
            <wp:positionV relativeFrom="paragraph">
              <wp:posOffset>2948940</wp:posOffset>
            </wp:positionV>
            <wp:extent cx="7560310" cy="4178935"/>
            <wp:effectExtent l="0" t="0" r="0" b="0"/>
            <wp:wrapSquare wrapText="largest"/>
            <wp:docPr id="2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178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-720725</wp:posOffset>
            </wp:positionH>
            <wp:positionV relativeFrom="paragraph">
              <wp:posOffset>13335</wp:posOffset>
            </wp:positionV>
            <wp:extent cx="7200900" cy="2852420"/>
            <wp:effectExtent l="0" t="0" r="0" b="0"/>
            <wp:wrapSquare wrapText="largest"/>
            <wp:docPr id="2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85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ab/>
        <w:t>Рисунки 12-13 сравнение моделей по параметрам и кривым</w:t>
      </w:r>
    </w:p>
    <w:p>
      <w:pPr>
        <w:pStyle w:val="Heading1"/>
        <w:spacing w:lineRule="auto" w:line="360" w:before="0" w:after="80"/>
        <w:rPr>
          <w:rFonts w:ascii="Times New Roman" w:hAnsi="Times New Roman" w:cs="Times New Roman"/>
          <w:b/>
          <w:color w:themeColor="text1" w:val="000000"/>
          <w:sz w:val="28"/>
          <w:szCs w:val="28"/>
        </w:rPr>
      </w:pPr>
      <w:r>
        <w:br w:type="column"/>
      </w:r>
      <w:bookmarkStart w:id="10" w:name="_Toc211609303"/>
      <w:bookmarkStart w:id="11" w:name="_Hlk208256521"/>
      <w:r>
        <w:rPr>
          <w:rFonts w:cs="Times New Roman" w:ascii="Times New Roman" w:hAnsi="Times New Roman"/>
          <w:b/>
          <w:color w:themeColor="text1" w:val="000000"/>
          <w:sz w:val="28"/>
          <w:szCs w:val="28"/>
        </w:rPr>
        <w:t>Вывод.</w:t>
      </w:r>
      <w:bookmarkEnd w:id="10"/>
      <w:bookmarkEnd w:id="11"/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В ходе выполнения лабораторной работы были успешно реализованы все этапы предобработки данных и построения моделей машинного обучения для решения задачи бинарной классификации на датасете «Погодные условия и вероятность дождя». Проведен комплексный анализ данных, включая визуализацию распределений признаков, диаграммы рассеяния для выявления взаимосвязей, а также построение матрицы корреляций для оценки степени влияния метеорологических параметров на целевой признак.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Результаты моделей классификации: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Были обучены и протестированы три модели классификации: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- K-ближайших соседей (KNN)**: Accuracy = 85.51%, F1-Score = 60.27%, ROC-AUC = 87.46%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- Машина опорных векторов (SVM)**: Accuracy = 85.38%, F1-Score = 58.10%, ROC-AUC = 87.79%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- Случайный лес (Random Forest)**: Accuracy = 86.11%, F1-Score = 62.54%, ROC-AUC = 89.55%</w:t>
      </w:r>
    </w:p>
    <w:p>
      <w:pPr>
        <w:pStyle w:val="Normal"/>
        <w:spacing w:lineRule="auto" w:line="360"/>
        <w:ind w:hanging="0"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ab/>
        <w:t>Ключевые выводы: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1. Наилучший результат показала модель Random Forest с точностью 86.11% и F1-Score 62.54%, что демонстрирует ее превосходство над KNN и SVM в данной задаче прогнозирования осадков.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2. Анализ ROC-кривых подтвердил высокую дискриминационную способность всех моделей (AUC &gt; 0.87), при этом Random Forest достиг наивысшего значения 0.8955.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3. Важность признаков, выявленная с помощью Random Forest, показала, что ключевую роль в прогнозировании дождя на следующий день играют следующие метеорологические параметры: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   </w:t>
      </w:r>
      <w:r>
        <w:rPr>
          <w:rFonts w:cs="Times New Roman" w:ascii="Times New Roman" w:hAnsi="Times New Roman"/>
          <w:bCs/>
          <w:sz w:val="28"/>
          <w:szCs w:val="28"/>
        </w:rPr>
        <w:t>- Влажность (Humidity9am, Humidity3pm)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   </w:t>
      </w:r>
      <w:r>
        <w:rPr>
          <w:rFonts w:cs="Times New Roman" w:ascii="Times New Roman" w:hAnsi="Times New Roman"/>
          <w:bCs/>
          <w:sz w:val="28"/>
          <w:szCs w:val="28"/>
        </w:rPr>
        <w:t>- Количество осадков (Rainfall)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   </w:t>
      </w:r>
      <w:r>
        <w:rPr>
          <w:rFonts w:cs="Times New Roman" w:ascii="Times New Roman" w:hAnsi="Times New Roman"/>
          <w:bCs/>
          <w:sz w:val="28"/>
          <w:szCs w:val="28"/>
        </w:rPr>
        <w:t>- Давление (Pressure9am, Pressure3pm)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   </w:t>
      </w:r>
      <w:r>
        <w:rPr>
          <w:rFonts w:cs="Times New Roman" w:ascii="Times New Roman" w:hAnsi="Times New Roman"/>
          <w:bCs/>
          <w:sz w:val="28"/>
          <w:szCs w:val="28"/>
        </w:rPr>
        <w:t>- Температура (MinTemp, MaxTemp)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4. Сравнение моделей по метрике F1-Score, которая учитывает баланс между precision и recall, показало, что Random Forest лучше справляется с задачей классификации в условиях несбалансированных классов.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Таким образом, цель работы – закрепить навыки предобработки данных, исследования признаков и применения различных алгоритмов машинного обучения для задач бинарной классификации – была успешно достигнута. Модель Random Forest продемонстрировала наилучшие результаты и может быть рекомендована для практического использования в системе прогнозирования осадков.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Полученные результаты свидетельствуют о том, что метеорологические данные обладают достаточной предсказательной силой для построения эффективных моделей прогнозирования дождя, что может найти применение в сельском хозяйстве, логистике и других областях, зависящих от погодных условий.</w:t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sectPr>
      <w:footerReference w:type="even" r:id="rId21"/>
      <w:footerReference w:type="default" r:id="rId22"/>
      <w:footerReference w:type="first" r:id="rId23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Consolas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cc"/>
    <w:family w:val="modern"/>
    <w:pitch w:val="fixed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3556980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82e68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ef0e51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ef0e51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ef0e51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ef0e51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ef0e51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ef0e51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ef0e51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ef0e51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ef0e51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ef0e51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qFormat/>
    <w:rsid w:val="00ef0e51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qFormat/>
    <w:rsid w:val="00ef0e51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ef0e51"/>
    <w:rPr>
      <w:rFonts w:eastAsia="" w:cs="" w:cstheme="majorBidi" w:eastAsiaTheme="majorEastAsia"/>
      <w:i/>
      <w:iCs/>
      <w:color w:themeColor="accent1" w:themeShade="bf" w:val="2F5496"/>
    </w:rPr>
  </w:style>
  <w:style w:type="character" w:styleId="5" w:customStyle="1">
    <w:name w:val="Заголовок 5 Знак"/>
    <w:basedOn w:val="DefaultParagraphFont"/>
    <w:uiPriority w:val="9"/>
    <w:semiHidden/>
    <w:qFormat/>
    <w:rsid w:val="00ef0e51"/>
    <w:rPr>
      <w:rFonts w:eastAsia="" w:cs="" w:cstheme="majorBidi" w:eastAsiaTheme="majorEastAsia"/>
      <w:color w:themeColor="accent1" w:themeShade="bf" w:val="2F5496"/>
    </w:rPr>
  </w:style>
  <w:style w:type="character" w:styleId="6" w:customStyle="1">
    <w:name w:val="Заголовок 6 Знак"/>
    <w:basedOn w:val="DefaultParagraphFont"/>
    <w:uiPriority w:val="9"/>
    <w:semiHidden/>
    <w:qFormat/>
    <w:rsid w:val="00ef0e51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ef0e51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ef0e51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ef0e51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ef0e51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ef0e51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ef0e51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ef0e51"/>
    <w:rPr>
      <w:i/>
      <w:iCs/>
      <w:color w:themeColor="accent1" w:themeShade="bf" w:val="2F5496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ef0e51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ef0e51"/>
    <w:rPr>
      <w:b/>
      <w:bCs/>
      <w:smallCaps/>
      <w:color w:themeColor="accent1" w:themeShade="bf" w:val="2F5496"/>
      <w:spacing w:val="5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ef0e51"/>
    <w:rPr>
      <w:rFonts w:ascii="Consolas" w:hAnsi="Consolas"/>
      <w:sz w:val="20"/>
      <w:szCs w:val="20"/>
    </w:rPr>
  </w:style>
  <w:style w:type="character" w:styleId="Style8" w:customStyle="1">
    <w:name w:val="Нижний колонтитул Знак"/>
    <w:basedOn w:val="DefaultParagraphFont"/>
    <w:uiPriority w:val="99"/>
    <w:qFormat/>
    <w:rsid w:val="00ef0e51"/>
    <w:rPr/>
  </w:style>
  <w:style w:type="character" w:styleId="Hyperlink">
    <w:name w:val="Hyperlink"/>
    <w:basedOn w:val="DefaultParagraphFont"/>
    <w:uiPriority w:val="99"/>
    <w:unhideWhenUsed/>
    <w:rsid w:val="00ef0e51"/>
    <w:rPr>
      <w:color w:themeColor="hyperlink" w:val="0563C1"/>
      <w:u w:val="single"/>
    </w:rPr>
  </w:style>
  <w:style w:type="character" w:styleId="apple-tab-span" w:customStyle="1">
    <w:name w:val="apple-tab-span"/>
    <w:basedOn w:val="DefaultParagraphFont"/>
    <w:qFormat/>
    <w:rsid w:val="002222e4"/>
    <w:rPr/>
  </w:style>
  <w:style w:type="character" w:styleId="PlaceholderText">
    <w:name w:val="Placeholder Text"/>
    <w:basedOn w:val="DefaultParagraphFont"/>
    <w:uiPriority w:val="99"/>
    <w:semiHidden/>
    <w:qFormat/>
    <w:rsid w:val="004b4267"/>
    <w:rPr>
      <w:color w:val="666666"/>
    </w:rPr>
  </w:style>
  <w:style w:type="character" w:styleId="user">
    <w:name w:val="Ссылка указателя (user)"/>
    <w:qFormat/>
    <w:rPr/>
  </w:style>
  <w:style w:type="character" w:styleId="Style9">
    <w:name w:val="Ссылка указателя"/>
    <w:qFormat/>
    <w:rPr/>
  </w:style>
  <w:style w:type="character" w:styleId="Strong">
    <w:name w:val="Strong"/>
    <w:qFormat/>
    <w:rPr>
      <w:b/>
      <w:bCs/>
    </w:rPr>
  </w:style>
  <w:style w:type="character" w:styleId="Style10">
    <w:name w:val="Маркеры"/>
    <w:qFormat/>
    <w:rPr>
      <w:rFonts w:ascii="OpenSymbol" w:hAnsi="OpenSymbol" w:eastAsia="OpenSymbol" w:cs="OpenSymbol"/>
    </w:rPr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paragraph" w:styleId="Style12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Arial"/>
    </w:rPr>
  </w:style>
  <w:style w:type="paragraph" w:styleId="user1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user2">
    <w:name w:val="Указатель (user)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Style5"/>
    <w:uiPriority w:val="10"/>
    <w:qFormat/>
    <w:rsid w:val="00ef0e51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11"/>
    <w:qFormat/>
    <w:rsid w:val="00ef0e51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21"/>
    <w:uiPriority w:val="29"/>
    <w:qFormat/>
    <w:rsid w:val="00ef0e51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ef0e51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ef0e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ef0e51"/>
    <w:pPr>
      <w:spacing w:lineRule="auto" w:line="240" w:before="0" w:after="0"/>
    </w:pPr>
    <w:rPr>
      <w:rFonts w:ascii="Consolas" w:hAnsi="Consolas"/>
      <w:sz w:val="20"/>
      <w:szCs w:val="20"/>
    </w:rPr>
  </w:style>
  <w:style w:type="paragraph" w:styleId="IndexHeading">
    <w:name w:val="index heading"/>
    <w:basedOn w:val="user1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ef0e51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user3">
    <w:name w:val="Колонтитулы (user)"/>
    <w:basedOn w:val="Normal"/>
    <w:qFormat/>
    <w:pPr/>
    <w:rPr/>
  </w:style>
  <w:style w:type="paragraph" w:styleId="Style14">
    <w:name w:val="Колонтитулы"/>
    <w:basedOn w:val="Normal"/>
    <w:qFormat/>
    <w:pPr/>
    <w:rPr/>
  </w:style>
  <w:style w:type="paragraph" w:styleId="Footer">
    <w:name w:val="footer"/>
    <w:basedOn w:val="Normal"/>
    <w:link w:val="Style8"/>
    <w:uiPriority w:val="99"/>
    <w:unhideWhenUsed/>
    <w:rsid w:val="00ef0e5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OC1">
    <w:name w:val="toc 1"/>
    <w:basedOn w:val="Normal"/>
    <w:next w:val="Normal"/>
    <w:autoRedefine/>
    <w:uiPriority w:val="39"/>
    <w:unhideWhenUsed/>
    <w:rsid w:val="00f01ca2"/>
    <w:pPr>
      <w:tabs>
        <w:tab w:val="clear" w:pos="708"/>
        <w:tab w:val="right" w:pos="9345" w:leader="dot"/>
      </w:tabs>
      <w:spacing w:lineRule="auto" w:line="360" w:before="0" w:after="100"/>
    </w:pPr>
    <w:rPr>
      <w:rFonts w:ascii="Times New Roman" w:hAnsi="Times New Roman" w:cs="Times New Roman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c15f3"/>
    <w:pPr>
      <w:spacing w:before="0" w:after="100"/>
      <w:ind w:left="220"/>
    </w:pPr>
    <w:rPr/>
  </w:style>
  <w:style w:type="paragraph" w:styleId="NormalWeb">
    <w:name w:val="Normal (Web)"/>
    <w:basedOn w:val="Normal"/>
    <w:uiPriority w:val="99"/>
    <w:semiHidden/>
    <w:unhideWhenUsed/>
    <w:qFormat/>
    <w:rsid w:val="002222e4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ru-RU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3357c"/>
    <w:pPr>
      <w:spacing w:before="0" w:after="100"/>
      <w:ind w:left="440"/>
    </w:pPr>
    <w:rPr/>
  </w:style>
  <w:style w:type="paragraph" w:styleId="Style15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16">
    <w:name w:val="Рисунок"/>
    <w:basedOn w:val="Caption"/>
    <w:qFormat/>
    <w:pPr/>
    <w:rPr/>
  </w:style>
  <w:style w:type="numbering" w:styleId="user4" w:default="1">
    <w:name w:val="Без списка (user)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oter" Target="footer3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Application>LibreOffice/25.2.5.2$Windows_X86_64 LibreOffice_project/03d19516eb2e1dd5d4ccd751a0d6f35f35e08022</Application>
  <AppVersion>15.0000</AppVersion>
  <Pages>24</Pages>
  <Words>1847</Words>
  <Characters>12440</Characters>
  <CharactersWithSpaces>14457</CharactersWithSpaces>
  <Paragraphs>253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2025-10-07T17:07:00Z</dcterms:created>
  <dc:creator>Daria Ryabova</dc:creator>
  <dc:description/>
  <dc:language>ru-RU</dc:language>
  <cp:lastModifiedBy/>
  <dcterms:modified xsi:type="dcterms:W3CDTF">2025-10-19T21:12:26Z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