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830AF" w14:textId="77777777" w:rsidR="005034BF" w:rsidRDefault="005034BF" w:rsidP="005034BF">
      <w:pPr>
        <w:pStyle w:val="Heading1"/>
      </w:pPr>
      <w:r>
        <w:rPr>
          <w:rStyle w:val="Strong"/>
          <w:b w:val="0"/>
          <w:bCs w:val="0"/>
        </w:rPr>
        <w:t>Duration Extension Analysis of the Shareholder Portfolio</w:t>
      </w:r>
    </w:p>
    <w:p w14:paraId="2780A582" w14:textId="77777777" w:rsidR="005034BF" w:rsidRDefault="005034BF" w:rsidP="005034BF">
      <w:pPr>
        <w:pStyle w:val="Heading2"/>
      </w:pPr>
      <w:r>
        <w:t>1. Overview</w:t>
      </w:r>
    </w:p>
    <w:p w14:paraId="0D5A307D" w14:textId="77777777" w:rsidR="005034BF" w:rsidRDefault="005034BF" w:rsidP="005034BF">
      <w:pPr>
        <w:pStyle w:val="NormalWeb"/>
      </w:pPr>
      <w:r>
        <w:t>This report assesses the implications of extending the duration of the Shareholder Portfolio from its current position of approximately three years to alternative strategies with five-year and seven-year duration targets</w:t>
      </w:r>
      <w:proofErr w:type="gramStart"/>
      <w:r>
        <w:t xml:space="preserve">. </w:t>
      </w:r>
      <w:proofErr w:type="gramEnd"/>
      <w:r>
        <w:t>The client’s brief highlighted a desire to evaluate the potential incremental yield and diversification benefits of a longer duration strategy against the risks of greater interest rate sensitivity, spread risk, and mark-to-market volatility.</w:t>
      </w:r>
    </w:p>
    <w:p w14:paraId="5802F118" w14:textId="77777777" w:rsidR="005034BF" w:rsidRDefault="005034BF" w:rsidP="005034BF">
      <w:pPr>
        <w:pStyle w:val="NormalWeb"/>
      </w:pPr>
      <w:r>
        <w:t>Our analysis reviews both historical performance (over the past five years) and forward-looking expectations (over the next three to five years)</w:t>
      </w:r>
      <w:proofErr w:type="gramStart"/>
      <w:r>
        <w:t xml:space="preserve">. </w:t>
      </w:r>
      <w:proofErr w:type="gramEnd"/>
      <w:r>
        <w:t>It also considers key risk/return measures such as yield, volatility, DV01/CV01, option-adjusted spread, credit quality, and sector exposures</w:t>
      </w:r>
      <w:proofErr w:type="gramStart"/>
      <w:r>
        <w:t xml:space="preserve">. </w:t>
      </w:r>
      <w:proofErr w:type="gramEnd"/>
      <w:r>
        <w:t>Importantly, we discuss the potential implications for APRA capital requirements, acknowledging that precise capital impacts cannot be quantified without more detailed liability and balance sheet data from the client.</w:t>
      </w:r>
    </w:p>
    <w:p w14:paraId="03E7FCB7" w14:textId="77777777" w:rsidR="005034BF" w:rsidRDefault="005034BF" w:rsidP="005034BF">
      <w:r>
        <w:pict w14:anchorId="2A611DF6">
          <v:rect id="_x0000_i1025" style="width:0;height:1.5pt" o:hralign="center" o:hrstd="t" o:hr="t" fillcolor="#a0a0a0" stroked="f"/>
        </w:pict>
      </w:r>
    </w:p>
    <w:p w14:paraId="75D6A788" w14:textId="77777777" w:rsidR="005034BF" w:rsidRDefault="005034BF" w:rsidP="005034BF">
      <w:pPr>
        <w:pStyle w:val="Heading2"/>
      </w:pPr>
      <w:r>
        <w:t>2. Current 3-Year Portfolio</w:t>
      </w:r>
    </w:p>
    <w:p w14:paraId="46E60F4E" w14:textId="77777777" w:rsidR="005034BF" w:rsidRDefault="005034BF" w:rsidP="005034BF">
      <w:pPr>
        <w:pStyle w:val="NormalWeb"/>
      </w:pPr>
      <w:r>
        <w:t>The current Shareholder Portfolio has a modified duration of around three years</w:t>
      </w:r>
      <w:proofErr w:type="gramStart"/>
      <w:r>
        <w:t xml:space="preserve">. </w:t>
      </w:r>
      <w:proofErr w:type="gramEnd"/>
      <w:r>
        <w:t>This positioning provides a balance between capturing a modest yield premium relative to cash and maintaining low mark-to-market volatility.</w:t>
      </w:r>
    </w:p>
    <w:p w14:paraId="02E609C4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Historical performance</w:t>
      </w:r>
      <w:r>
        <w:t xml:space="preserve"> over the past five years has been broadly consistent, with returns largely driven by carry and roll-down, supported by stable credit exposures</w:t>
      </w:r>
      <w:proofErr w:type="gramStart"/>
      <w:r>
        <w:t xml:space="preserve">. </w:t>
      </w:r>
      <w:proofErr w:type="gramEnd"/>
      <w:r>
        <w:t xml:space="preserve">Volatility has been contained, reflecting the relatively </w:t>
      </w:r>
      <w:proofErr w:type="gramStart"/>
      <w:r>
        <w:t>low interest rate</w:t>
      </w:r>
      <w:proofErr w:type="gramEnd"/>
      <w:r>
        <w:t xml:space="preserve"> sensitivity of the portfolio</w:t>
      </w:r>
      <w:proofErr w:type="gramStart"/>
      <w:r>
        <w:t xml:space="preserve">. </w:t>
      </w:r>
      <w:proofErr w:type="gramEnd"/>
      <w:r>
        <w:t>Risk-adjusted returns (Sharpe ratio) compare favourably with longer-duration alternatives.</w:t>
      </w:r>
    </w:p>
    <w:p w14:paraId="4E11634B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Forward-looking expectations</w:t>
      </w:r>
      <w:r>
        <w:t xml:space="preserve"> suggest that the portfolio will continue to generate steady returns with low sensitivity to rate shocks</w:t>
      </w:r>
      <w:proofErr w:type="gramStart"/>
      <w:r>
        <w:t xml:space="preserve">. </w:t>
      </w:r>
      <w:proofErr w:type="gramEnd"/>
      <w:r>
        <w:t>DV01 and spread duration exposures remain modest, and convexity is limited</w:t>
      </w:r>
      <w:proofErr w:type="gramStart"/>
      <w:r>
        <w:t xml:space="preserve">. </w:t>
      </w:r>
      <w:proofErr w:type="gramEnd"/>
      <w:r>
        <w:t>Importantly, the three-year positioning aligns most closely with the liability duration of the shareholder funds, thereby optimising capital efficiency under APRA’s framework.</w:t>
      </w:r>
    </w:p>
    <w:p w14:paraId="0C1B0BD8" w14:textId="77777777" w:rsidR="005034BF" w:rsidRDefault="005034BF" w:rsidP="005034BF">
      <w:r>
        <w:pict w14:anchorId="6AC73FE7">
          <v:rect id="_x0000_i1026" style="width:0;height:1.5pt" o:hralign="center" o:hrstd="t" o:hr="t" fillcolor="#a0a0a0" stroked="f"/>
        </w:pict>
      </w:r>
    </w:p>
    <w:p w14:paraId="04A20E8D" w14:textId="77777777" w:rsidR="005034BF" w:rsidRDefault="005034BF" w:rsidP="005034BF">
      <w:pPr>
        <w:pStyle w:val="Heading2"/>
      </w:pPr>
      <w:r>
        <w:t>3. 5-Year Duration Portfolio</w:t>
      </w:r>
    </w:p>
    <w:p w14:paraId="5814E9B9" w14:textId="77777777" w:rsidR="005034BF" w:rsidRDefault="005034BF" w:rsidP="005034BF">
      <w:pPr>
        <w:pStyle w:val="NormalWeb"/>
      </w:pPr>
      <w:r>
        <w:t>Extending the portfolio to a five-year duration introduces a higher level of interest rate sensitivity, with DV01 rising meaningfully compared to the current three-year stance</w:t>
      </w:r>
      <w:proofErr w:type="gramStart"/>
      <w:r>
        <w:t xml:space="preserve">. </w:t>
      </w:r>
      <w:proofErr w:type="gramEnd"/>
      <w:r>
        <w:t>Historical analysis indicates slightly higher total returns, reflecting additional carry and roll-down benefits, but also higher volatility and greater drawdown potential in periods of rising yields.</w:t>
      </w:r>
    </w:p>
    <w:p w14:paraId="35574862" w14:textId="77777777" w:rsidR="005034BF" w:rsidRDefault="005034BF" w:rsidP="005034BF">
      <w:pPr>
        <w:pStyle w:val="NormalWeb"/>
      </w:pPr>
      <w:r>
        <w:lastRenderedPageBreak/>
        <w:t>Looking forward, a five-year portfolio could provide a modest yield advantage over the three-year base case</w:t>
      </w:r>
      <w:proofErr w:type="gramStart"/>
      <w:r>
        <w:t xml:space="preserve">. </w:t>
      </w:r>
      <w:proofErr w:type="gramEnd"/>
      <w:r>
        <w:t>However, the incremental benefit is partially offset by the greater mark-to-market risk</w:t>
      </w:r>
      <w:proofErr w:type="gramStart"/>
      <w:r>
        <w:t xml:space="preserve">. </w:t>
      </w:r>
      <w:proofErr w:type="gramEnd"/>
      <w:r>
        <w:t>From a risk-adjusted return perspective, the Sharpe ratio may not materially improve relative to the current strategy.</w:t>
      </w:r>
    </w:p>
    <w:p w14:paraId="708099D6" w14:textId="77777777" w:rsidR="005034BF" w:rsidRDefault="005034BF" w:rsidP="005034BF">
      <w:pPr>
        <w:pStyle w:val="NormalWeb"/>
      </w:pPr>
      <w:r>
        <w:t>One potential benefit of the five-year portfolio is diversification</w:t>
      </w:r>
      <w:proofErr w:type="gramStart"/>
      <w:r>
        <w:t xml:space="preserve">. </w:t>
      </w:r>
      <w:proofErr w:type="gramEnd"/>
      <w:r>
        <w:t>Extending duration slightly may provide a degree of offset against risk in the growth asset portfolio, depending on the interaction between interest rates and equity markets in stress scenarios</w:t>
      </w:r>
      <w:proofErr w:type="gramStart"/>
      <w:r>
        <w:t xml:space="preserve">. </w:t>
      </w:r>
      <w:proofErr w:type="gramEnd"/>
      <w:r>
        <w:t>However, this benefit is uncertain and may not outweigh the reduced capital efficiency from extending duration away from the liability profile.</w:t>
      </w:r>
    </w:p>
    <w:p w14:paraId="109A9677" w14:textId="77777777" w:rsidR="005034BF" w:rsidRDefault="005034BF" w:rsidP="005034BF">
      <w:r>
        <w:pict w14:anchorId="78EB8371">
          <v:rect id="_x0000_i1027" style="width:0;height:1.5pt" o:hralign="center" o:hrstd="t" o:hr="t" fillcolor="#a0a0a0" stroked="f"/>
        </w:pict>
      </w:r>
    </w:p>
    <w:p w14:paraId="158B001E" w14:textId="77777777" w:rsidR="005034BF" w:rsidRDefault="005034BF" w:rsidP="005034BF">
      <w:pPr>
        <w:pStyle w:val="Heading2"/>
      </w:pPr>
      <w:r>
        <w:t>4. 7-Year Duration Portfolio</w:t>
      </w:r>
    </w:p>
    <w:p w14:paraId="10902ACF" w14:textId="77777777" w:rsidR="005034BF" w:rsidRDefault="005034BF" w:rsidP="005034BF">
      <w:pPr>
        <w:pStyle w:val="NormalWeb"/>
      </w:pPr>
      <w:r>
        <w:t>A seven-year duration portfolio represents a material departure from the current strategy</w:t>
      </w:r>
      <w:proofErr w:type="gramStart"/>
      <w:r>
        <w:t xml:space="preserve">. </w:t>
      </w:r>
      <w:proofErr w:type="gramEnd"/>
      <w:r>
        <w:t>Historical results suggest that while long-duration portfolios can deliver strong returns in falling-rate environments, the associated volatility is significantly higher</w:t>
      </w:r>
      <w:proofErr w:type="gramStart"/>
      <w:r>
        <w:t xml:space="preserve">. </w:t>
      </w:r>
      <w:proofErr w:type="gramEnd"/>
      <w:r>
        <w:t>Risk metrics show that DV01 and convexity exposures are substantially larger, amplifying sensitivity to both parallel shifts and curve-steepening scenarios.</w:t>
      </w:r>
    </w:p>
    <w:p w14:paraId="05C70B9D" w14:textId="77777777" w:rsidR="005034BF" w:rsidRDefault="005034BF" w:rsidP="005034BF">
      <w:pPr>
        <w:pStyle w:val="NormalWeb"/>
      </w:pPr>
      <w:r>
        <w:t>On a forward-looking basis, the incremental yield pickup is not sufficient to compensate for the additional volatility and drawdown risk</w:t>
      </w:r>
      <w:proofErr w:type="gramStart"/>
      <w:r>
        <w:t xml:space="preserve">. </w:t>
      </w:r>
      <w:proofErr w:type="gramEnd"/>
      <w:r>
        <w:t>Critically, this positioning would introduce a significant mismatch against the liability profile of the shareholder funds, substantially increasing net duration risk</w:t>
      </w:r>
      <w:proofErr w:type="gramStart"/>
      <w:r>
        <w:t xml:space="preserve">. </w:t>
      </w:r>
      <w:proofErr w:type="gramEnd"/>
      <w:r>
        <w:t>This would likely reduce capital efficiency under APRA metrics and could expose the fund to unnecessary mark-to-market volatility.</w:t>
      </w:r>
    </w:p>
    <w:p w14:paraId="4015334B" w14:textId="77777777" w:rsidR="005034BF" w:rsidRDefault="005034BF" w:rsidP="005034BF">
      <w:pPr>
        <w:pStyle w:val="NormalWeb"/>
      </w:pPr>
      <w:r>
        <w:t>For these reasons, the seven-year strategy is not considered appropriate for the client’s objectives.</w:t>
      </w:r>
    </w:p>
    <w:p w14:paraId="085D9300" w14:textId="77777777" w:rsidR="005034BF" w:rsidRDefault="005034BF" w:rsidP="005034BF">
      <w:r>
        <w:pict w14:anchorId="7E1E7012">
          <v:rect id="_x0000_i1028" style="width:0;height:1.5pt" o:hralign="center" o:hrstd="t" o:hr="t" fillcolor="#a0a0a0" stroked="f"/>
        </w:pict>
      </w:r>
    </w:p>
    <w:p w14:paraId="08DD16CF" w14:textId="77777777" w:rsidR="005034BF" w:rsidRDefault="005034BF" w:rsidP="005034BF">
      <w:pPr>
        <w:pStyle w:val="Heading2"/>
      </w:pPr>
      <w:r>
        <w:t>5. Discussion</w:t>
      </w:r>
    </w:p>
    <w:p w14:paraId="24C0B255" w14:textId="77777777" w:rsidR="005034BF" w:rsidRDefault="005034BF" w:rsidP="005034BF">
      <w:pPr>
        <w:pStyle w:val="NormalWeb"/>
      </w:pPr>
      <w:r>
        <w:t>Across the three scenarios, the central trade-off is between additional yield and diversification benefits on the one hand, and higher volatility, interest rate sensitivity, and capital requirements on the other.</w:t>
      </w:r>
    </w:p>
    <w:p w14:paraId="0F862406" w14:textId="77777777" w:rsidR="005034BF" w:rsidRDefault="005034BF" w:rsidP="005034BF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Strong"/>
          <w:rFonts w:eastAsiaTheme="majorEastAsia"/>
        </w:rPr>
        <w:t>3-year portfolio</w:t>
      </w:r>
      <w:r>
        <w:t xml:space="preserve"> aligns with the client’s liability duration, offers the most capital-efficient outcome, and has historically delivered stable risk-adjusted returns.</w:t>
      </w:r>
    </w:p>
    <w:p w14:paraId="2820B60D" w14:textId="77777777" w:rsidR="005034BF" w:rsidRDefault="005034BF" w:rsidP="005034BF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Strong"/>
          <w:rFonts w:eastAsiaTheme="majorEastAsia"/>
        </w:rPr>
        <w:t>5-year portfolio</w:t>
      </w:r>
      <w:r>
        <w:t xml:space="preserve"> could be considered as an incremental step, potentially offering modest diversification benefits relative to growth assets</w:t>
      </w:r>
      <w:proofErr w:type="gramStart"/>
      <w:r>
        <w:t xml:space="preserve">. </w:t>
      </w:r>
      <w:proofErr w:type="gramEnd"/>
      <w:r>
        <w:t>However, this is uncertain, and the incremental yield pickup is relatively small compared to the increase in volatility and capital requirements.</w:t>
      </w:r>
    </w:p>
    <w:p w14:paraId="09F4C939" w14:textId="77777777" w:rsidR="005034BF" w:rsidRDefault="005034BF" w:rsidP="005034BF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Strong"/>
          <w:rFonts w:eastAsiaTheme="majorEastAsia"/>
        </w:rPr>
        <w:t>7-year portfolio</w:t>
      </w:r>
      <w:r>
        <w:t xml:space="preserve"> is clearly misaligned with the liability profile, introduces substantial unwanted duration risk, and is unlikely to be capital efficient.</w:t>
      </w:r>
    </w:p>
    <w:p w14:paraId="0ED8418A" w14:textId="77777777" w:rsidR="005034BF" w:rsidRDefault="005034BF" w:rsidP="005034BF">
      <w:pPr>
        <w:pStyle w:val="NormalWeb"/>
      </w:pPr>
      <w:r>
        <w:t xml:space="preserve">While the analysis provides a useful directional view, the precise impact on capital requirements cannot be assessed without more detailed information on liability matching and </w:t>
      </w:r>
      <w:r>
        <w:lastRenderedPageBreak/>
        <w:t>APRA’s treatment of specific asset exposures</w:t>
      </w:r>
      <w:proofErr w:type="gramStart"/>
      <w:r>
        <w:t xml:space="preserve">. </w:t>
      </w:r>
      <w:proofErr w:type="gramEnd"/>
      <w:r>
        <w:t>This remains an important caveat to the results.</w:t>
      </w:r>
    </w:p>
    <w:p w14:paraId="1956F698" w14:textId="77777777" w:rsidR="005034BF" w:rsidRDefault="005034BF" w:rsidP="005034BF">
      <w:r>
        <w:pict w14:anchorId="70BE63A3">
          <v:rect id="_x0000_i1029" style="width:0;height:1.5pt" o:hralign="center" o:hrstd="t" o:hr="t" fillcolor="#a0a0a0" stroked="f"/>
        </w:pict>
      </w:r>
    </w:p>
    <w:p w14:paraId="383EE62F" w14:textId="77777777" w:rsidR="005034BF" w:rsidRDefault="005034BF" w:rsidP="005034BF">
      <w:pPr>
        <w:pStyle w:val="Heading2"/>
      </w:pPr>
      <w:r>
        <w:t>6. Recommendation</w:t>
      </w:r>
    </w:p>
    <w:p w14:paraId="60115F0E" w14:textId="77777777" w:rsidR="005034BF" w:rsidRDefault="005034BF" w:rsidP="005034BF">
      <w:pPr>
        <w:pStyle w:val="NormalWeb"/>
      </w:pPr>
      <w:r>
        <w:t xml:space="preserve">Based on the analysis, we recommend maintaining the current </w:t>
      </w:r>
      <w:r>
        <w:rPr>
          <w:rStyle w:val="Strong"/>
          <w:rFonts w:eastAsiaTheme="majorEastAsia"/>
        </w:rPr>
        <w:t>3-year portfolio</w:t>
      </w:r>
      <w:r>
        <w:t xml:space="preserve"> as the most appropriate and capital-efficient strategy for the Shareholder Fund</w:t>
      </w:r>
      <w:proofErr w:type="gramStart"/>
      <w:r>
        <w:t xml:space="preserve">. </w:t>
      </w:r>
      <w:proofErr w:type="gramEnd"/>
      <w:r>
        <w:t>This positioning balances yield, volatility, and liability alignment, while keeping APRA capital charges contained.</w:t>
      </w:r>
    </w:p>
    <w:p w14:paraId="15788EF4" w14:textId="77777777" w:rsidR="005034BF" w:rsidRDefault="005034BF" w:rsidP="005034BF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5-year portfolio</w:t>
      </w:r>
      <w:r>
        <w:t xml:space="preserve"> could be considered as a secondary option if the client wishes to modestly extend duration </w:t>
      </w:r>
      <w:proofErr w:type="gramStart"/>
      <w:r>
        <w:t>in order to</w:t>
      </w:r>
      <w:proofErr w:type="gramEnd"/>
      <w:r>
        <w:t xml:space="preserve"> improve diversification relative to growth assets</w:t>
      </w:r>
      <w:proofErr w:type="gramStart"/>
      <w:r>
        <w:t xml:space="preserve">. </w:t>
      </w:r>
      <w:proofErr w:type="gramEnd"/>
      <w:r>
        <w:t>However, this should only be pursued after further analysis of the total balance sheet context, particularly the correlation between growth assets and fixed income in stressed market conditions.</w:t>
      </w:r>
    </w:p>
    <w:p w14:paraId="4D10EB93" w14:textId="77777777" w:rsidR="005034BF" w:rsidRDefault="005034BF" w:rsidP="005034BF">
      <w:pPr>
        <w:pStyle w:val="NormalWeb"/>
      </w:pPr>
      <w:r>
        <w:t xml:space="preserve">We do </w:t>
      </w:r>
      <w:r>
        <w:rPr>
          <w:rStyle w:val="Strong"/>
          <w:rFonts w:eastAsiaTheme="majorEastAsia"/>
        </w:rPr>
        <w:t>not recommend the 7-year portfolio</w:t>
      </w:r>
      <w:r>
        <w:t>, as it introduces a significant liability mismatch and would likely prove inefficient from both a risk and capital perspective.</w:t>
      </w:r>
    </w:p>
    <w:p w14:paraId="1D2A4471" w14:textId="77777777" w:rsidR="005034BF" w:rsidRDefault="005034BF" w:rsidP="005034BF">
      <w:r>
        <w:pict w14:anchorId="53016338">
          <v:rect id="_x0000_i1030" style="width:0;height:1.5pt" o:hralign="center" o:hrstd="t" o:hr="t" fillcolor="#a0a0a0" stroked="f"/>
        </w:pict>
      </w:r>
    </w:p>
    <w:p w14:paraId="799054F3" w14:textId="77777777" w:rsidR="005034BF" w:rsidRDefault="005034BF" w:rsidP="005034BF">
      <w:pPr>
        <w:pStyle w:val="NormalWeb"/>
      </w:pPr>
      <w:r>
        <w:t xml:space="preserve">Would you like me to polish this into a </w:t>
      </w:r>
      <w:r>
        <w:rPr>
          <w:rStyle w:val="Strong"/>
          <w:rFonts w:eastAsiaTheme="majorEastAsia"/>
        </w:rPr>
        <w:t>client-ready version with a more formal consulting/report tone</w:t>
      </w:r>
      <w:r>
        <w:t xml:space="preserve"> (shorter sentences, less technical detail in the narrative, with key numbers and charts highlighted in tables/graphs), or keep it as a more </w:t>
      </w:r>
      <w:r>
        <w:rPr>
          <w:rStyle w:val="Strong"/>
          <w:rFonts w:eastAsiaTheme="majorEastAsia"/>
        </w:rPr>
        <w:t>technical/internal draft</w:t>
      </w:r>
      <w:r>
        <w:t xml:space="preserve"> to hand over with your quantitative exhibits?</w:t>
      </w:r>
    </w:p>
    <w:p w14:paraId="4749E299" w14:textId="0C4E6CFD" w:rsidR="005034BF" w:rsidRDefault="005034BF">
      <w:r>
        <w:br w:type="page"/>
      </w:r>
    </w:p>
    <w:p w14:paraId="4AA06785" w14:textId="77777777" w:rsidR="005034BF" w:rsidRDefault="005034BF" w:rsidP="005034BF">
      <w:pPr>
        <w:pStyle w:val="Heading1"/>
      </w:pPr>
      <w:r>
        <w:rPr>
          <w:rStyle w:val="Strong"/>
          <w:b w:val="0"/>
          <w:bCs w:val="0"/>
        </w:rPr>
        <w:lastRenderedPageBreak/>
        <w:t>Duration Extension Analysis of the Shareholder Portfolio</w:t>
      </w:r>
    </w:p>
    <w:p w14:paraId="06B04524" w14:textId="77777777" w:rsidR="005034BF" w:rsidRDefault="005034BF" w:rsidP="005034BF">
      <w:r>
        <w:pict w14:anchorId="7EFA9EF3">
          <v:rect id="_x0000_i1037" style="width:0;height:1.5pt" o:hralign="center" o:hrstd="t" o:hr="t" fillcolor="#a0a0a0" stroked="f"/>
        </w:pict>
      </w:r>
    </w:p>
    <w:p w14:paraId="3359382A" w14:textId="77777777" w:rsidR="005034BF" w:rsidRDefault="005034BF" w:rsidP="005034BF">
      <w:pPr>
        <w:pStyle w:val="Heading2"/>
      </w:pPr>
      <w:r>
        <w:t>1. Overview</w:t>
      </w:r>
    </w:p>
    <w:p w14:paraId="00CC850B" w14:textId="77777777" w:rsidR="005034BF" w:rsidRDefault="005034BF" w:rsidP="005034BF">
      <w:pPr>
        <w:pStyle w:val="NormalWeb"/>
      </w:pPr>
      <w:r>
        <w:t>Macquarie Fixed Income has been asked to evaluate the implications of extending the Shareholder Portfolio’s duration from its current ~3 years to alternative 5-year and 7-year profiles.</w:t>
      </w:r>
    </w:p>
    <w:p w14:paraId="4118AC0C" w14:textId="77777777" w:rsidR="005034BF" w:rsidRDefault="005034BF" w:rsidP="005034BF">
      <w:pPr>
        <w:pStyle w:val="NormalWeb"/>
      </w:pPr>
      <w:r>
        <w:t>The client is seeking to understand:</w:t>
      </w:r>
    </w:p>
    <w:p w14:paraId="6A8D12E9" w14:textId="77777777" w:rsidR="005034BF" w:rsidRDefault="005034BF" w:rsidP="005034BF">
      <w:pPr>
        <w:pStyle w:val="NormalWeb"/>
        <w:numPr>
          <w:ilvl w:val="0"/>
          <w:numId w:val="2"/>
        </w:numPr>
      </w:pPr>
      <w:r>
        <w:t xml:space="preserve">The potential </w:t>
      </w:r>
      <w:r>
        <w:rPr>
          <w:rStyle w:val="Strong"/>
          <w:rFonts w:eastAsiaTheme="majorEastAsia"/>
        </w:rPr>
        <w:t>incremental yield and diversification benefits</w:t>
      </w:r>
      <w:r>
        <w:t xml:space="preserve"> of extending duration.</w:t>
      </w:r>
    </w:p>
    <w:p w14:paraId="411B760C" w14:textId="77777777" w:rsidR="005034BF" w:rsidRDefault="005034BF" w:rsidP="005034BF">
      <w:pPr>
        <w:pStyle w:val="NormalWeb"/>
        <w:numPr>
          <w:ilvl w:val="0"/>
          <w:numId w:val="2"/>
        </w:numPr>
      </w:pPr>
      <w:r>
        <w:t xml:space="preserve">The associated </w:t>
      </w:r>
      <w:r>
        <w:rPr>
          <w:rStyle w:val="Strong"/>
          <w:rFonts w:eastAsiaTheme="majorEastAsia"/>
        </w:rPr>
        <w:t>risks</w:t>
      </w:r>
      <w:r>
        <w:t xml:space="preserve"> — greater sensitivity to interest rate and spread movements, and higher mark-to-market volatility.</w:t>
      </w:r>
    </w:p>
    <w:p w14:paraId="558C786F" w14:textId="77777777" w:rsidR="005034BF" w:rsidRDefault="005034BF" w:rsidP="005034BF">
      <w:pPr>
        <w:pStyle w:val="NormalWeb"/>
        <w:numPr>
          <w:ilvl w:val="0"/>
          <w:numId w:val="2"/>
        </w:numPr>
      </w:pPr>
      <w:r>
        <w:t xml:space="preserve">The impact on </w:t>
      </w:r>
      <w:r>
        <w:rPr>
          <w:rStyle w:val="Strong"/>
          <w:rFonts w:eastAsiaTheme="majorEastAsia"/>
        </w:rPr>
        <w:t>historical performance, forward-looking risk/return expectations, and capital efficiency under APRA</w:t>
      </w:r>
      <w:r>
        <w:t>.</w:t>
      </w:r>
    </w:p>
    <w:p w14:paraId="08F51E82" w14:textId="77777777" w:rsidR="005034BF" w:rsidRDefault="005034BF" w:rsidP="005034BF">
      <w:pPr>
        <w:pStyle w:val="NormalWeb"/>
        <w:numPr>
          <w:ilvl w:val="0"/>
          <w:numId w:val="2"/>
        </w:numPr>
      </w:pPr>
      <w:r>
        <w:t xml:space="preserve">The effect on </w:t>
      </w:r>
      <w:r>
        <w:rPr>
          <w:rStyle w:val="Strong"/>
          <w:rFonts w:eastAsiaTheme="majorEastAsia"/>
        </w:rPr>
        <w:t>key fixed income metrics</w:t>
      </w:r>
      <w:r>
        <w:t xml:space="preserve"> (DV01, CV01, duration, spread exposure, OAS, yield, and credit quality).</w:t>
      </w:r>
    </w:p>
    <w:p w14:paraId="3EA00F15" w14:textId="77777777" w:rsidR="005034BF" w:rsidRDefault="005034BF" w:rsidP="005034BF">
      <w:pPr>
        <w:pStyle w:val="NormalWeb"/>
        <w:numPr>
          <w:ilvl w:val="0"/>
          <w:numId w:val="2"/>
        </w:numPr>
      </w:pPr>
      <w:r>
        <w:t xml:space="preserve">Sensitivity to </w:t>
      </w:r>
      <w:r>
        <w:rPr>
          <w:rStyle w:val="Strong"/>
          <w:rFonts w:eastAsiaTheme="majorEastAsia"/>
        </w:rPr>
        <w:t>yield curve steepening and flattening scenarios</w:t>
      </w:r>
      <w:r>
        <w:t>.</w:t>
      </w:r>
    </w:p>
    <w:p w14:paraId="1D6F78C4" w14:textId="77777777" w:rsidR="005034BF" w:rsidRDefault="005034BF" w:rsidP="005034BF">
      <w:pPr>
        <w:pStyle w:val="NormalWeb"/>
        <w:numPr>
          <w:ilvl w:val="0"/>
          <w:numId w:val="2"/>
        </w:numPr>
      </w:pPr>
      <w:r>
        <w:t xml:space="preserve">Whether there </w:t>
      </w:r>
      <w:proofErr w:type="gramStart"/>
      <w:r>
        <w:t>is</w:t>
      </w:r>
      <w:proofErr w:type="gramEnd"/>
      <w:r>
        <w:t xml:space="preserve"> an “optimal” duration range balancing risk and return.</w:t>
      </w:r>
    </w:p>
    <w:p w14:paraId="5878AC67" w14:textId="77777777" w:rsidR="005034BF" w:rsidRDefault="005034BF" w:rsidP="005034BF">
      <w:pPr>
        <w:pStyle w:val="NormalWeb"/>
      </w:pPr>
      <w:r>
        <w:t>This report summarises our findings, with detailed metrics provided in the accompanying Excel pack.</w:t>
      </w:r>
    </w:p>
    <w:p w14:paraId="287AC3E9" w14:textId="77777777" w:rsidR="005034BF" w:rsidRDefault="005034BF" w:rsidP="005034BF">
      <w:r>
        <w:pict w14:anchorId="6FB0BC65">
          <v:rect id="_x0000_i1038" style="width:0;height:1.5pt" o:hralign="center" o:hrstd="t" o:hr="t" fillcolor="#a0a0a0" stroked="f"/>
        </w:pict>
      </w:r>
    </w:p>
    <w:p w14:paraId="08BA88FB" w14:textId="77777777" w:rsidR="005034BF" w:rsidRDefault="005034BF" w:rsidP="005034BF">
      <w:pPr>
        <w:pStyle w:val="Heading2"/>
      </w:pPr>
      <w:r>
        <w:t>2. Current 3-Year Portfolio</w:t>
      </w:r>
    </w:p>
    <w:p w14:paraId="7725B5A9" w14:textId="77777777" w:rsidR="005034BF" w:rsidRDefault="005034BF" w:rsidP="005034BF">
      <w:pPr>
        <w:pStyle w:val="NormalWeb"/>
      </w:pPr>
      <w:r>
        <w:t>The current portfolio is positioned around a three-year modified duration, broadly aligned with the liability profile of the shareholder funds.</w:t>
      </w:r>
    </w:p>
    <w:p w14:paraId="7CB7023C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Key metrics</w:t>
      </w:r>
      <w:r>
        <w:t xml:space="preserve"> (illustrative – fill with your results):</w:t>
      </w:r>
    </w:p>
    <w:p w14:paraId="13DDC317" w14:textId="77777777" w:rsidR="005034BF" w:rsidRDefault="005034BF" w:rsidP="005034BF">
      <w:pPr>
        <w:pStyle w:val="NormalWeb"/>
        <w:numPr>
          <w:ilvl w:val="0"/>
          <w:numId w:val="3"/>
        </w:numPr>
      </w:pPr>
      <w:r>
        <w:t>Yield: X%</w:t>
      </w:r>
    </w:p>
    <w:p w14:paraId="3D92169B" w14:textId="77777777" w:rsidR="005034BF" w:rsidRDefault="005034BF" w:rsidP="005034BF">
      <w:pPr>
        <w:pStyle w:val="NormalWeb"/>
        <w:numPr>
          <w:ilvl w:val="0"/>
          <w:numId w:val="3"/>
        </w:numPr>
      </w:pPr>
      <w:r>
        <w:t>OAS: X bps</w:t>
      </w:r>
    </w:p>
    <w:p w14:paraId="287A1C90" w14:textId="77777777" w:rsidR="005034BF" w:rsidRDefault="005034BF" w:rsidP="005034BF">
      <w:pPr>
        <w:pStyle w:val="NormalWeb"/>
        <w:numPr>
          <w:ilvl w:val="0"/>
          <w:numId w:val="3"/>
        </w:numPr>
      </w:pPr>
      <w:r>
        <w:t>Modified duration: ~3 years</w:t>
      </w:r>
    </w:p>
    <w:p w14:paraId="6FA69B7F" w14:textId="77777777" w:rsidR="005034BF" w:rsidRDefault="005034BF" w:rsidP="005034BF">
      <w:pPr>
        <w:pStyle w:val="NormalWeb"/>
        <w:numPr>
          <w:ilvl w:val="0"/>
          <w:numId w:val="3"/>
        </w:numPr>
      </w:pPr>
      <w:r>
        <w:t>DV01: $</w:t>
      </w:r>
      <w:proofErr w:type="spellStart"/>
      <w:r>
        <w:t>Xk</w:t>
      </w:r>
      <w:proofErr w:type="spellEnd"/>
      <w:r>
        <w:t xml:space="preserve"> per bp</w:t>
      </w:r>
    </w:p>
    <w:p w14:paraId="65A85983" w14:textId="77777777" w:rsidR="005034BF" w:rsidRDefault="005034BF" w:rsidP="005034BF">
      <w:pPr>
        <w:pStyle w:val="NormalWeb"/>
        <w:numPr>
          <w:ilvl w:val="0"/>
          <w:numId w:val="3"/>
        </w:numPr>
      </w:pPr>
      <w:r>
        <w:t>Spread duration: X years</w:t>
      </w:r>
    </w:p>
    <w:p w14:paraId="067ED288" w14:textId="77777777" w:rsidR="005034BF" w:rsidRDefault="005034BF" w:rsidP="005034BF">
      <w:pPr>
        <w:pStyle w:val="NormalWeb"/>
        <w:numPr>
          <w:ilvl w:val="0"/>
          <w:numId w:val="3"/>
        </w:numPr>
      </w:pPr>
      <w:r>
        <w:t>Average rating: A / BBB+</w:t>
      </w:r>
    </w:p>
    <w:p w14:paraId="4A5F5A03" w14:textId="77777777" w:rsidR="005034BF" w:rsidRDefault="005034BF" w:rsidP="005034BF">
      <w:pPr>
        <w:pStyle w:val="NormalWeb"/>
        <w:numPr>
          <w:ilvl w:val="0"/>
          <w:numId w:val="3"/>
        </w:numPr>
      </w:pPr>
      <w:r>
        <w:t>Volatility (5Y realised): X%</w:t>
      </w:r>
    </w:p>
    <w:p w14:paraId="470CFE2E" w14:textId="77777777" w:rsidR="005034BF" w:rsidRDefault="005034BF" w:rsidP="005034BF">
      <w:pPr>
        <w:pStyle w:val="NormalWeb"/>
        <w:numPr>
          <w:ilvl w:val="0"/>
          <w:numId w:val="3"/>
        </w:numPr>
      </w:pPr>
      <w:r>
        <w:t>Sharpe ratio (5Y): X</w:t>
      </w:r>
    </w:p>
    <w:p w14:paraId="5880036D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Historical performance (5 years):</w:t>
      </w:r>
      <w:r>
        <w:br/>
        <w:t>Returns have been steady, with low volatility and strong risk-adjusted outcomes</w:t>
      </w:r>
      <w:proofErr w:type="gramStart"/>
      <w:r>
        <w:t xml:space="preserve">. </w:t>
      </w:r>
      <w:proofErr w:type="gramEnd"/>
      <w:r>
        <w:t>Drawdowns were modest compared to longer-duration portfolios.</w:t>
      </w:r>
    </w:p>
    <w:p w14:paraId="421048D6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Forward-looking expectations:</w:t>
      </w:r>
      <w:r>
        <w:br/>
        <w:t xml:space="preserve">The portfolio is expected to continue delivering stable returns with low mark-to-market </w:t>
      </w:r>
      <w:r>
        <w:lastRenderedPageBreak/>
        <w:t>volatility</w:t>
      </w:r>
      <w:proofErr w:type="gramStart"/>
      <w:r>
        <w:t xml:space="preserve">. </w:t>
      </w:r>
      <w:proofErr w:type="gramEnd"/>
      <w:r>
        <w:t>Its alignment with liability duration supports efficient capital treatment under APRA.</w:t>
      </w:r>
    </w:p>
    <w:p w14:paraId="05C7043A" w14:textId="77777777" w:rsidR="005034BF" w:rsidRDefault="005034BF" w:rsidP="005034BF">
      <w:r>
        <w:pict w14:anchorId="6A387316">
          <v:rect id="_x0000_i1039" style="width:0;height:1.5pt" o:hralign="center" o:hrstd="t" o:hr="t" fillcolor="#a0a0a0" stroked="f"/>
        </w:pict>
      </w:r>
    </w:p>
    <w:p w14:paraId="3EF9C750" w14:textId="77777777" w:rsidR="005034BF" w:rsidRDefault="005034BF" w:rsidP="005034BF">
      <w:pPr>
        <w:pStyle w:val="Heading2"/>
      </w:pPr>
      <w:r>
        <w:t>3. 5-Year Duration Portfolio</w:t>
      </w:r>
    </w:p>
    <w:p w14:paraId="0F602248" w14:textId="77777777" w:rsidR="005034BF" w:rsidRDefault="005034BF" w:rsidP="005034BF">
      <w:pPr>
        <w:pStyle w:val="NormalWeb"/>
      </w:pPr>
      <w:r>
        <w:t>Extending to five years introduces greater rate sensitivity while offering incremental carry and roll-down benefits.</w:t>
      </w:r>
    </w:p>
    <w:p w14:paraId="760FCBF1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Key metrics:</w:t>
      </w:r>
    </w:p>
    <w:p w14:paraId="570FC7B2" w14:textId="77777777" w:rsidR="005034BF" w:rsidRDefault="005034BF" w:rsidP="005034BF">
      <w:pPr>
        <w:pStyle w:val="NormalWeb"/>
        <w:numPr>
          <w:ilvl w:val="0"/>
          <w:numId w:val="4"/>
        </w:numPr>
      </w:pPr>
      <w:r>
        <w:t>Yield: ~X bps higher than 3Y</w:t>
      </w:r>
    </w:p>
    <w:p w14:paraId="136CEE47" w14:textId="77777777" w:rsidR="005034BF" w:rsidRDefault="005034BF" w:rsidP="005034BF">
      <w:pPr>
        <w:pStyle w:val="NormalWeb"/>
        <w:numPr>
          <w:ilvl w:val="0"/>
          <w:numId w:val="4"/>
        </w:numPr>
      </w:pPr>
      <w:r>
        <w:t>OAS: broadly unchanged</w:t>
      </w:r>
    </w:p>
    <w:p w14:paraId="54FDE1DF" w14:textId="77777777" w:rsidR="005034BF" w:rsidRDefault="005034BF" w:rsidP="005034BF">
      <w:pPr>
        <w:pStyle w:val="NormalWeb"/>
        <w:numPr>
          <w:ilvl w:val="0"/>
          <w:numId w:val="4"/>
        </w:numPr>
      </w:pPr>
      <w:r>
        <w:t>Modified duration: ~5 years</w:t>
      </w:r>
    </w:p>
    <w:p w14:paraId="2ACF1E2D" w14:textId="77777777" w:rsidR="005034BF" w:rsidRDefault="005034BF" w:rsidP="005034BF">
      <w:pPr>
        <w:pStyle w:val="NormalWeb"/>
        <w:numPr>
          <w:ilvl w:val="0"/>
          <w:numId w:val="4"/>
        </w:numPr>
      </w:pPr>
      <w:r>
        <w:t>DV01: ~X% higher than 3Y</w:t>
      </w:r>
    </w:p>
    <w:p w14:paraId="66C568FB" w14:textId="77777777" w:rsidR="005034BF" w:rsidRDefault="005034BF" w:rsidP="005034BF">
      <w:pPr>
        <w:pStyle w:val="NormalWeb"/>
        <w:numPr>
          <w:ilvl w:val="0"/>
          <w:numId w:val="4"/>
        </w:numPr>
      </w:pPr>
      <w:r>
        <w:t>Volatility (5Y realised): X% (higher than 3Y)</w:t>
      </w:r>
    </w:p>
    <w:p w14:paraId="3E594DB6" w14:textId="77777777" w:rsidR="005034BF" w:rsidRDefault="005034BF" w:rsidP="005034BF">
      <w:pPr>
        <w:pStyle w:val="NormalWeb"/>
        <w:numPr>
          <w:ilvl w:val="0"/>
          <w:numId w:val="4"/>
        </w:numPr>
      </w:pPr>
      <w:r>
        <w:t xml:space="preserve">Sharpe ratio (5Y): broadly </w:t>
      </w:r>
      <w:proofErr w:type="gramStart"/>
      <w:r>
        <w:t>similar to</w:t>
      </w:r>
      <w:proofErr w:type="gramEnd"/>
      <w:r>
        <w:t xml:space="preserve"> 3Y</w:t>
      </w:r>
    </w:p>
    <w:p w14:paraId="03070182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Historical performance:</w:t>
      </w:r>
      <w:r>
        <w:br/>
        <w:t>The 5Y portfolio delivered slightly higher returns than the 3Y over the past five years, but with larger drawdowns during periods of rising yields.</w:t>
      </w:r>
    </w:p>
    <w:p w14:paraId="3ED18928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Forward-looking expectations:</w:t>
      </w:r>
      <w:r>
        <w:br/>
        <w:t>Projected returns are modestly higher, though not significantly so on a risk-adjusted basis</w:t>
      </w:r>
      <w:proofErr w:type="gramStart"/>
      <w:r>
        <w:t xml:space="preserve">. </w:t>
      </w:r>
      <w:proofErr w:type="gramEnd"/>
      <w:r>
        <w:t>Diversification benefits may exist if longer-duration fixed income offsets growth-asset volatility in stress scenarios, but this is uncertain.</w:t>
      </w:r>
    </w:p>
    <w:p w14:paraId="07878E77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Curve scenarios:</w:t>
      </w:r>
    </w:p>
    <w:p w14:paraId="767127EB" w14:textId="77777777" w:rsidR="005034BF" w:rsidRDefault="005034BF" w:rsidP="005034BF">
      <w:pPr>
        <w:pStyle w:val="NormalWeb"/>
        <w:numPr>
          <w:ilvl w:val="0"/>
          <w:numId w:val="5"/>
        </w:numPr>
      </w:pPr>
      <w:r>
        <w:t>Flattening: 5Y portfolio outperforms 3Y due to higher carry and roll-down.</w:t>
      </w:r>
    </w:p>
    <w:p w14:paraId="6E156784" w14:textId="77777777" w:rsidR="005034BF" w:rsidRDefault="005034BF" w:rsidP="005034BF">
      <w:pPr>
        <w:pStyle w:val="NormalWeb"/>
        <w:numPr>
          <w:ilvl w:val="0"/>
          <w:numId w:val="5"/>
        </w:numPr>
      </w:pPr>
      <w:r>
        <w:t>Steepening: 5Y underperforms, reflecting higher exposure to long-end rate moves.</w:t>
      </w:r>
    </w:p>
    <w:p w14:paraId="46312A9D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Capital implications:</w:t>
      </w:r>
      <w:r>
        <w:br/>
        <w:t>APRA charges likely increase relative to 3Y, though precise impacts depend on liability modelling.</w:t>
      </w:r>
    </w:p>
    <w:p w14:paraId="673CA605" w14:textId="77777777" w:rsidR="005034BF" w:rsidRDefault="005034BF" w:rsidP="005034BF">
      <w:r>
        <w:pict w14:anchorId="12A411B3">
          <v:rect id="_x0000_i1040" style="width:0;height:1.5pt" o:hralign="center" o:hrstd="t" o:hr="t" fillcolor="#a0a0a0" stroked="f"/>
        </w:pict>
      </w:r>
    </w:p>
    <w:p w14:paraId="1CB9F79E" w14:textId="77777777" w:rsidR="005034BF" w:rsidRDefault="005034BF" w:rsidP="005034BF">
      <w:pPr>
        <w:pStyle w:val="Heading2"/>
      </w:pPr>
      <w:r>
        <w:t>4. 7-Year Duration Portfolio</w:t>
      </w:r>
    </w:p>
    <w:p w14:paraId="255D2E29" w14:textId="77777777" w:rsidR="005034BF" w:rsidRDefault="005034BF" w:rsidP="005034BF">
      <w:pPr>
        <w:pStyle w:val="NormalWeb"/>
      </w:pPr>
      <w:r>
        <w:t>A seven-year profile represents a material departure from the current strategy, with significantly higher rate and convexity risk.</w:t>
      </w:r>
    </w:p>
    <w:p w14:paraId="02C0927F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Key metrics:</w:t>
      </w:r>
    </w:p>
    <w:p w14:paraId="30C0BD12" w14:textId="77777777" w:rsidR="005034BF" w:rsidRDefault="005034BF" w:rsidP="005034BF">
      <w:pPr>
        <w:pStyle w:val="NormalWeb"/>
        <w:numPr>
          <w:ilvl w:val="0"/>
          <w:numId w:val="6"/>
        </w:numPr>
      </w:pPr>
      <w:r>
        <w:t>Yield: ~X bps higher than 3Y</w:t>
      </w:r>
    </w:p>
    <w:p w14:paraId="6D223873" w14:textId="77777777" w:rsidR="005034BF" w:rsidRDefault="005034BF" w:rsidP="005034BF">
      <w:pPr>
        <w:pStyle w:val="NormalWeb"/>
        <w:numPr>
          <w:ilvl w:val="0"/>
          <w:numId w:val="6"/>
        </w:numPr>
      </w:pPr>
      <w:r>
        <w:t>OAS: unchanged</w:t>
      </w:r>
    </w:p>
    <w:p w14:paraId="54DC8D9C" w14:textId="77777777" w:rsidR="005034BF" w:rsidRDefault="005034BF" w:rsidP="005034BF">
      <w:pPr>
        <w:pStyle w:val="NormalWeb"/>
        <w:numPr>
          <w:ilvl w:val="0"/>
          <w:numId w:val="6"/>
        </w:numPr>
      </w:pPr>
      <w:r>
        <w:t>Modified duration: ~7 years</w:t>
      </w:r>
    </w:p>
    <w:p w14:paraId="2C318100" w14:textId="77777777" w:rsidR="005034BF" w:rsidRDefault="005034BF" w:rsidP="005034BF">
      <w:pPr>
        <w:pStyle w:val="NormalWeb"/>
        <w:numPr>
          <w:ilvl w:val="0"/>
          <w:numId w:val="6"/>
        </w:numPr>
      </w:pPr>
      <w:r>
        <w:t>DV01: roughly double the 3Y portfolio</w:t>
      </w:r>
    </w:p>
    <w:p w14:paraId="022EA2FD" w14:textId="77777777" w:rsidR="005034BF" w:rsidRDefault="005034BF" w:rsidP="005034BF">
      <w:pPr>
        <w:pStyle w:val="NormalWeb"/>
        <w:numPr>
          <w:ilvl w:val="0"/>
          <w:numId w:val="6"/>
        </w:numPr>
      </w:pPr>
      <w:r>
        <w:lastRenderedPageBreak/>
        <w:t>Volatility: materially higher</w:t>
      </w:r>
    </w:p>
    <w:p w14:paraId="522F6A0C" w14:textId="77777777" w:rsidR="005034BF" w:rsidRDefault="005034BF" w:rsidP="005034BF">
      <w:pPr>
        <w:pStyle w:val="NormalWeb"/>
        <w:numPr>
          <w:ilvl w:val="0"/>
          <w:numId w:val="6"/>
        </w:numPr>
      </w:pPr>
      <w:r>
        <w:t>Sharpe ratio: mixed (period-dependent, not consistently better)</w:t>
      </w:r>
    </w:p>
    <w:p w14:paraId="000439AA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Historical performance:</w:t>
      </w:r>
      <w:r>
        <w:br/>
        <w:t>Returns were stronger in falling-rate environments but highly volatile, with significant drawdowns when yields rose.</w:t>
      </w:r>
    </w:p>
    <w:p w14:paraId="3D24D712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Forward-looking expectations:</w:t>
      </w:r>
      <w:r>
        <w:br/>
        <w:t>Incremental yield pickup is not sufficient to compensate for the additional volatility.</w:t>
      </w:r>
    </w:p>
    <w:p w14:paraId="495B9CBD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Curve scenarios:</w:t>
      </w:r>
    </w:p>
    <w:p w14:paraId="5A98E623" w14:textId="77777777" w:rsidR="005034BF" w:rsidRDefault="005034BF" w:rsidP="005034BF">
      <w:pPr>
        <w:pStyle w:val="NormalWeb"/>
        <w:numPr>
          <w:ilvl w:val="0"/>
          <w:numId w:val="7"/>
        </w:numPr>
      </w:pPr>
      <w:r>
        <w:t>Flattening: strongest outperformance.</w:t>
      </w:r>
    </w:p>
    <w:p w14:paraId="36C1A0A3" w14:textId="77777777" w:rsidR="005034BF" w:rsidRDefault="005034BF" w:rsidP="005034BF">
      <w:pPr>
        <w:pStyle w:val="NormalWeb"/>
        <w:numPr>
          <w:ilvl w:val="0"/>
          <w:numId w:val="7"/>
        </w:numPr>
      </w:pPr>
      <w:r>
        <w:t>Steepening: largest underperformance.</w:t>
      </w:r>
    </w:p>
    <w:p w14:paraId="3D3C517A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Capital implications:</w:t>
      </w:r>
      <w:r>
        <w:br/>
        <w:t xml:space="preserve">Extending to seven years would likely create a large liability mismatch, substantially </w:t>
      </w:r>
      <w:proofErr w:type="gramStart"/>
      <w:r>
        <w:t>increasing</w:t>
      </w:r>
      <w:proofErr w:type="gramEnd"/>
      <w:r>
        <w:t xml:space="preserve"> net duration risk and reducing capital efficiency under APRA.</w:t>
      </w:r>
    </w:p>
    <w:p w14:paraId="4E0E7B01" w14:textId="77777777" w:rsidR="005034BF" w:rsidRDefault="005034BF" w:rsidP="005034BF">
      <w:r>
        <w:pict w14:anchorId="3B47B96C">
          <v:rect id="_x0000_i1041" style="width:0;height:1.5pt" o:hralign="center" o:hrstd="t" o:hr="t" fillcolor="#a0a0a0" stroked="f"/>
        </w:pict>
      </w:r>
    </w:p>
    <w:p w14:paraId="1C91AC5C" w14:textId="77777777" w:rsidR="005034BF" w:rsidRDefault="005034BF" w:rsidP="005034BF">
      <w:pPr>
        <w:pStyle w:val="Heading2"/>
      </w:pPr>
      <w:r>
        <w:t>5. Discussion</w:t>
      </w:r>
    </w:p>
    <w:p w14:paraId="1B8DF47B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Risk/return trade-offs:</w:t>
      </w:r>
    </w:p>
    <w:p w14:paraId="2FE8C8DC" w14:textId="77777777" w:rsidR="005034BF" w:rsidRDefault="005034BF" w:rsidP="005034BF">
      <w:pPr>
        <w:pStyle w:val="NormalWeb"/>
        <w:numPr>
          <w:ilvl w:val="0"/>
          <w:numId w:val="8"/>
        </w:numPr>
      </w:pPr>
      <w:r>
        <w:t>The 3Y portfolio delivers steady returns with the lowest volatility and is the most capital efficient given its alignment with liability duration.</w:t>
      </w:r>
    </w:p>
    <w:p w14:paraId="106E5FEA" w14:textId="77777777" w:rsidR="005034BF" w:rsidRDefault="005034BF" w:rsidP="005034BF">
      <w:pPr>
        <w:pStyle w:val="NormalWeb"/>
        <w:numPr>
          <w:ilvl w:val="0"/>
          <w:numId w:val="8"/>
        </w:numPr>
      </w:pPr>
      <w:r>
        <w:t>The 5Y portfolio provides modest incremental yield and may diversify growth-asset risk, but with higher volatility and uncertain capital efficiency benefits.</w:t>
      </w:r>
    </w:p>
    <w:p w14:paraId="75624C20" w14:textId="77777777" w:rsidR="005034BF" w:rsidRDefault="005034BF" w:rsidP="005034BF">
      <w:pPr>
        <w:pStyle w:val="NormalWeb"/>
        <w:numPr>
          <w:ilvl w:val="0"/>
          <w:numId w:val="8"/>
        </w:numPr>
      </w:pPr>
      <w:r>
        <w:t>The 7Y portfolio introduces substantial and unwanted duration risk, with materially higher volatility and likely punitive capital charges.</w:t>
      </w:r>
    </w:p>
    <w:p w14:paraId="570F69B3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Sharpe ratios and risk-adjusted returns:</w:t>
      </w:r>
      <w:r>
        <w:br/>
        <w:t>On a five-year lookback, the 3Y and 5Y portfolios delivered similar Sharpe ratios, while the 7Y was less consistent.</w:t>
      </w:r>
    </w:p>
    <w:p w14:paraId="0556DE75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Sector and rating exposures:</w:t>
      </w:r>
      <w:r>
        <w:br/>
        <w:t>Extending duration naturally tilts exposure towards sovereign and semi-government bonds</w:t>
      </w:r>
      <w:proofErr w:type="gramStart"/>
      <w:r>
        <w:t xml:space="preserve">. </w:t>
      </w:r>
      <w:proofErr w:type="gramEnd"/>
      <w:r>
        <w:t>Credit quality remains broadly stable across scenarios, though longer portfolios exhibit higher sensitivity to spread moves.</w:t>
      </w:r>
    </w:p>
    <w:p w14:paraId="70A0ED97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Capital considerations:</w:t>
      </w:r>
      <w:r>
        <w:br/>
        <w:t>Without full liability data, capital impacts cannot be precisely modelled</w:t>
      </w:r>
      <w:proofErr w:type="gramStart"/>
      <w:r>
        <w:t xml:space="preserve">. </w:t>
      </w:r>
      <w:proofErr w:type="gramEnd"/>
      <w:r>
        <w:t>However, directionally, duration extension reduces capital efficiency in a non-linear fashion.</w:t>
      </w:r>
    </w:p>
    <w:p w14:paraId="68C7B7CF" w14:textId="77777777" w:rsidR="005034BF" w:rsidRDefault="005034BF" w:rsidP="005034BF">
      <w:r>
        <w:pict w14:anchorId="49A14351">
          <v:rect id="_x0000_i1042" style="width:0;height:1.5pt" o:hralign="center" o:hrstd="t" o:hr="t" fillcolor="#a0a0a0" stroked="f"/>
        </w:pict>
      </w:r>
    </w:p>
    <w:p w14:paraId="50E36713" w14:textId="77777777" w:rsidR="005034BF" w:rsidRDefault="005034BF" w:rsidP="005034BF">
      <w:pPr>
        <w:pStyle w:val="Heading2"/>
      </w:pPr>
      <w:r>
        <w:lastRenderedPageBreak/>
        <w:t>6. Recommendation</w:t>
      </w:r>
    </w:p>
    <w:p w14:paraId="3EF62CCD" w14:textId="77777777" w:rsidR="005034BF" w:rsidRDefault="005034BF" w:rsidP="005034BF">
      <w:pPr>
        <w:pStyle w:val="NormalWeb"/>
      </w:pPr>
      <w:r>
        <w:t xml:space="preserve">We recommend maintaining the current </w:t>
      </w:r>
      <w:r>
        <w:rPr>
          <w:rStyle w:val="Strong"/>
          <w:rFonts w:eastAsiaTheme="majorEastAsia"/>
        </w:rPr>
        <w:t>3-year portfolio</w:t>
      </w:r>
      <w:r>
        <w:t xml:space="preserve"> as the most appropriate and capital-efficient strategy</w:t>
      </w:r>
      <w:proofErr w:type="gramStart"/>
      <w:r>
        <w:t xml:space="preserve">. </w:t>
      </w:r>
      <w:proofErr w:type="gramEnd"/>
      <w:r>
        <w:t>It best matches liability duration, minimises mark-to-market volatility, and is consistent with APRA capital efficiency.</w:t>
      </w:r>
    </w:p>
    <w:p w14:paraId="052199B4" w14:textId="77777777" w:rsidR="005034BF" w:rsidRDefault="005034BF" w:rsidP="005034BF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5-year portfolio</w:t>
      </w:r>
      <w:r>
        <w:t xml:space="preserve"> could be considered as an incremental extension if the client seeks to test diversification benefits relative to growth assets</w:t>
      </w:r>
      <w:proofErr w:type="gramStart"/>
      <w:r>
        <w:t xml:space="preserve">. </w:t>
      </w:r>
      <w:proofErr w:type="gramEnd"/>
      <w:r>
        <w:t>This should only be pursued after further liability and capital modelling.</w:t>
      </w:r>
    </w:p>
    <w:p w14:paraId="75125113" w14:textId="77777777" w:rsidR="005034BF" w:rsidRDefault="005034BF" w:rsidP="005034BF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7-year portfolio</w:t>
      </w:r>
      <w:r>
        <w:t xml:space="preserve"> is </w:t>
      </w:r>
      <w:r>
        <w:rPr>
          <w:rStyle w:val="Strong"/>
          <w:rFonts w:eastAsiaTheme="majorEastAsia"/>
        </w:rPr>
        <w:t>not recommended</w:t>
      </w:r>
      <w:r>
        <w:t>, given the substantial liability mismatch, higher volatility, and likely adverse capital consequences.</w:t>
      </w:r>
    </w:p>
    <w:p w14:paraId="37B7E946" w14:textId="1C5F80A0" w:rsidR="005034BF" w:rsidRDefault="005034BF">
      <w:r>
        <w:br w:type="page"/>
      </w:r>
    </w:p>
    <w:p w14:paraId="0FA89D2D" w14:textId="77777777" w:rsidR="005034BF" w:rsidRDefault="005034BF" w:rsidP="005034BF">
      <w:pPr>
        <w:pStyle w:val="Heading2"/>
      </w:pPr>
      <w:r>
        <w:rPr>
          <w:rStyle w:val="Strong"/>
          <w:b w:val="0"/>
          <w:bCs w:val="0"/>
        </w:rPr>
        <w:lastRenderedPageBreak/>
        <w:t>Table 1</w:t>
      </w:r>
      <w:proofErr w:type="gramStart"/>
      <w:r>
        <w:rPr>
          <w:rStyle w:val="Strong"/>
          <w:b w:val="0"/>
          <w:bCs w:val="0"/>
        </w:rPr>
        <w:t xml:space="preserve">. </w:t>
      </w:r>
      <w:proofErr w:type="gramEnd"/>
      <w:r>
        <w:rPr>
          <w:rStyle w:val="Strong"/>
          <w:b w:val="0"/>
          <w:bCs w:val="0"/>
        </w:rPr>
        <w:t>Key Metrics — Current 3-Year Portfolio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870"/>
        <w:gridCol w:w="4609"/>
      </w:tblGrid>
      <w:tr w:rsidR="005034BF" w14:paraId="044CB0E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28F34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15C9F26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95245CE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5034BF" w14:paraId="3A531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A4E54" w14:textId="77777777" w:rsidR="005034BF" w:rsidRDefault="005034BF">
            <w:r>
              <w:t>Yield (to maturity)</w:t>
            </w:r>
          </w:p>
        </w:tc>
        <w:tc>
          <w:tcPr>
            <w:tcW w:w="0" w:type="auto"/>
            <w:vAlign w:val="center"/>
            <w:hideMark/>
          </w:tcPr>
          <w:p w14:paraId="2B0BB4E6" w14:textId="77777777" w:rsidR="005034BF" w:rsidRDefault="005034BF">
            <w:r>
              <w:t>X%</w:t>
            </w:r>
          </w:p>
        </w:tc>
        <w:tc>
          <w:tcPr>
            <w:tcW w:w="0" w:type="auto"/>
            <w:vAlign w:val="center"/>
            <w:hideMark/>
          </w:tcPr>
          <w:p w14:paraId="7B27A0DC" w14:textId="77777777" w:rsidR="005034BF" w:rsidRDefault="005034BF">
            <w:r>
              <w:t>Stable carry profile, modest premium over cash.</w:t>
            </w:r>
          </w:p>
        </w:tc>
      </w:tr>
      <w:tr w:rsidR="005034BF" w14:paraId="7C877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3423" w14:textId="77777777" w:rsidR="005034BF" w:rsidRDefault="005034BF">
            <w:r>
              <w:t>Option-Adjusted Spread (OAS)</w:t>
            </w:r>
          </w:p>
        </w:tc>
        <w:tc>
          <w:tcPr>
            <w:tcW w:w="0" w:type="auto"/>
            <w:vAlign w:val="center"/>
            <w:hideMark/>
          </w:tcPr>
          <w:p w14:paraId="7A3BD703" w14:textId="77777777" w:rsidR="005034BF" w:rsidRDefault="005034BF">
            <w:r>
              <w:t>X bps</w:t>
            </w:r>
          </w:p>
        </w:tc>
        <w:tc>
          <w:tcPr>
            <w:tcW w:w="0" w:type="auto"/>
            <w:vAlign w:val="center"/>
            <w:hideMark/>
          </w:tcPr>
          <w:p w14:paraId="64B4860C" w14:textId="77777777" w:rsidR="005034BF" w:rsidRDefault="005034BF">
            <w:r>
              <w:t>Consistent with credit quality.</w:t>
            </w:r>
          </w:p>
        </w:tc>
      </w:tr>
      <w:tr w:rsidR="005034BF" w14:paraId="5DAFB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04A8" w14:textId="77777777" w:rsidR="005034BF" w:rsidRDefault="005034BF">
            <w:r>
              <w:t>Modified Duration</w:t>
            </w:r>
          </w:p>
        </w:tc>
        <w:tc>
          <w:tcPr>
            <w:tcW w:w="0" w:type="auto"/>
            <w:vAlign w:val="center"/>
            <w:hideMark/>
          </w:tcPr>
          <w:p w14:paraId="2C2B8EA7" w14:textId="77777777" w:rsidR="005034BF" w:rsidRDefault="005034BF">
            <w:r>
              <w:t>~3.0 yrs</w:t>
            </w:r>
          </w:p>
        </w:tc>
        <w:tc>
          <w:tcPr>
            <w:tcW w:w="0" w:type="auto"/>
            <w:vAlign w:val="center"/>
            <w:hideMark/>
          </w:tcPr>
          <w:p w14:paraId="1E0C6C9E" w14:textId="77777777" w:rsidR="005034BF" w:rsidRDefault="005034BF">
            <w:r>
              <w:t>Closely aligned with liability profile.</w:t>
            </w:r>
          </w:p>
        </w:tc>
      </w:tr>
      <w:tr w:rsidR="005034BF" w14:paraId="0F8EA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F961" w14:textId="77777777" w:rsidR="005034BF" w:rsidRDefault="005034BF">
            <w:r>
              <w:t>DV01</w:t>
            </w:r>
          </w:p>
        </w:tc>
        <w:tc>
          <w:tcPr>
            <w:tcW w:w="0" w:type="auto"/>
            <w:vAlign w:val="center"/>
            <w:hideMark/>
          </w:tcPr>
          <w:p w14:paraId="3ACDC160" w14:textId="77777777" w:rsidR="005034BF" w:rsidRDefault="005034BF">
            <w:r>
              <w:t>$</w:t>
            </w:r>
            <w:proofErr w:type="spellStart"/>
            <w:r>
              <w:t>Xk</w:t>
            </w:r>
            <w:proofErr w:type="spellEnd"/>
            <w:r>
              <w:t xml:space="preserve"> / bp</w:t>
            </w:r>
          </w:p>
        </w:tc>
        <w:tc>
          <w:tcPr>
            <w:tcW w:w="0" w:type="auto"/>
            <w:vAlign w:val="center"/>
            <w:hideMark/>
          </w:tcPr>
          <w:p w14:paraId="02805021" w14:textId="77777777" w:rsidR="005034BF" w:rsidRDefault="005034BF">
            <w:r>
              <w:t xml:space="preserve">Relatively </w:t>
            </w:r>
            <w:proofErr w:type="gramStart"/>
            <w:r>
              <w:t>low interest rate</w:t>
            </w:r>
            <w:proofErr w:type="gramEnd"/>
            <w:r>
              <w:t xml:space="preserve"> sensitivity.</w:t>
            </w:r>
          </w:p>
        </w:tc>
      </w:tr>
      <w:tr w:rsidR="005034BF" w14:paraId="6CC5CF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268D" w14:textId="77777777" w:rsidR="005034BF" w:rsidRDefault="005034BF">
            <w:r>
              <w:t>Spread Duration</w:t>
            </w:r>
          </w:p>
        </w:tc>
        <w:tc>
          <w:tcPr>
            <w:tcW w:w="0" w:type="auto"/>
            <w:vAlign w:val="center"/>
            <w:hideMark/>
          </w:tcPr>
          <w:p w14:paraId="0872F13A" w14:textId="77777777" w:rsidR="005034BF" w:rsidRDefault="005034BF">
            <w:r>
              <w:t>X yrs</w:t>
            </w:r>
          </w:p>
        </w:tc>
        <w:tc>
          <w:tcPr>
            <w:tcW w:w="0" w:type="auto"/>
            <w:vAlign w:val="center"/>
            <w:hideMark/>
          </w:tcPr>
          <w:p w14:paraId="3C9CF73E" w14:textId="77777777" w:rsidR="005034BF" w:rsidRDefault="005034BF">
            <w:r>
              <w:t>Limited exposure to spread widening.</w:t>
            </w:r>
          </w:p>
        </w:tc>
      </w:tr>
      <w:tr w:rsidR="005034BF" w14:paraId="61D78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FF7C" w14:textId="77777777" w:rsidR="005034BF" w:rsidRDefault="005034BF">
            <w:r>
              <w:t>Convexity (CV01)</w:t>
            </w:r>
          </w:p>
        </w:tc>
        <w:tc>
          <w:tcPr>
            <w:tcW w:w="0" w:type="auto"/>
            <w:vAlign w:val="center"/>
            <w:hideMark/>
          </w:tcPr>
          <w:p w14:paraId="42FF22D2" w14:textId="77777777" w:rsidR="005034BF" w:rsidRDefault="005034BF">
            <w:r>
              <w:t>X</w:t>
            </w:r>
          </w:p>
        </w:tc>
        <w:tc>
          <w:tcPr>
            <w:tcW w:w="0" w:type="auto"/>
            <w:vAlign w:val="center"/>
            <w:hideMark/>
          </w:tcPr>
          <w:p w14:paraId="50E7A5FC" w14:textId="77777777" w:rsidR="005034BF" w:rsidRDefault="005034BF">
            <w:r>
              <w:t>Low convexity impact.</w:t>
            </w:r>
          </w:p>
        </w:tc>
      </w:tr>
      <w:tr w:rsidR="005034BF" w14:paraId="14EB1D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024C0" w14:textId="77777777" w:rsidR="005034BF" w:rsidRDefault="005034BF">
            <w:r>
              <w:t>Average Credit Rating</w:t>
            </w:r>
          </w:p>
        </w:tc>
        <w:tc>
          <w:tcPr>
            <w:tcW w:w="0" w:type="auto"/>
            <w:vAlign w:val="center"/>
            <w:hideMark/>
          </w:tcPr>
          <w:p w14:paraId="45EEAF9E" w14:textId="77777777" w:rsidR="005034BF" w:rsidRDefault="005034BF">
            <w:r>
              <w:t>A / BBB+</w:t>
            </w:r>
          </w:p>
        </w:tc>
        <w:tc>
          <w:tcPr>
            <w:tcW w:w="0" w:type="auto"/>
            <w:vAlign w:val="center"/>
            <w:hideMark/>
          </w:tcPr>
          <w:p w14:paraId="70D42061" w14:textId="77777777" w:rsidR="005034BF" w:rsidRDefault="005034BF">
            <w:r>
              <w:t>High-quality portfolio.</w:t>
            </w:r>
          </w:p>
        </w:tc>
      </w:tr>
      <w:tr w:rsidR="005034BF" w14:paraId="183479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1ACE" w14:textId="77777777" w:rsidR="005034BF" w:rsidRDefault="005034BF">
            <w:r>
              <w:t>5Y Realised Volatility</w:t>
            </w:r>
          </w:p>
        </w:tc>
        <w:tc>
          <w:tcPr>
            <w:tcW w:w="0" w:type="auto"/>
            <w:vAlign w:val="center"/>
            <w:hideMark/>
          </w:tcPr>
          <w:p w14:paraId="498A176B" w14:textId="77777777" w:rsidR="005034BF" w:rsidRDefault="005034BF">
            <w:r>
              <w:t>X%</w:t>
            </w:r>
          </w:p>
        </w:tc>
        <w:tc>
          <w:tcPr>
            <w:tcW w:w="0" w:type="auto"/>
            <w:vAlign w:val="center"/>
            <w:hideMark/>
          </w:tcPr>
          <w:p w14:paraId="51B141C1" w14:textId="77777777" w:rsidR="005034BF" w:rsidRDefault="005034BF">
            <w:r>
              <w:t>Lowest of the three portfolios.</w:t>
            </w:r>
          </w:p>
        </w:tc>
      </w:tr>
      <w:tr w:rsidR="005034BF" w14:paraId="1509D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B4DF" w14:textId="77777777" w:rsidR="005034BF" w:rsidRDefault="005034BF">
            <w:r>
              <w:t>5Y Sharpe Ratio</w:t>
            </w:r>
          </w:p>
        </w:tc>
        <w:tc>
          <w:tcPr>
            <w:tcW w:w="0" w:type="auto"/>
            <w:vAlign w:val="center"/>
            <w:hideMark/>
          </w:tcPr>
          <w:p w14:paraId="7DF48B1A" w14:textId="77777777" w:rsidR="005034BF" w:rsidRDefault="005034BF">
            <w:r>
              <w:t>X</w:t>
            </w:r>
          </w:p>
        </w:tc>
        <w:tc>
          <w:tcPr>
            <w:tcW w:w="0" w:type="auto"/>
            <w:vAlign w:val="center"/>
            <w:hideMark/>
          </w:tcPr>
          <w:p w14:paraId="29895836" w14:textId="77777777" w:rsidR="005034BF" w:rsidRDefault="005034BF">
            <w:r>
              <w:t>Strong risk-adjusted returns.</w:t>
            </w:r>
          </w:p>
        </w:tc>
      </w:tr>
    </w:tbl>
    <w:p w14:paraId="3637573B" w14:textId="77777777" w:rsidR="005034BF" w:rsidRDefault="005034BF" w:rsidP="005034BF">
      <w:r>
        <w:pict w14:anchorId="047600BB">
          <v:rect id="_x0000_i1049" style="width:0;height:1.5pt" o:hralign="center" o:hrstd="t" o:hr="t" fillcolor="#a0a0a0" stroked="f"/>
        </w:pict>
      </w:r>
    </w:p>
    <w:p w14:paraId="041A4B14" w14:textId="77777777" w:rsidR="005034BF" w:rsidRDefault="005034BF" w:rsidP="005034BF">
      <w:pPr>
        <w:pStyle w:val="Heading2"/>
      </w:pPr>
      <w:r>
        <w:rPr>
          <w:rStyle w:val="Strong"/>
          <w:b w:val="0"/>
          <w:bCs w:val="0"/>
        </w:rPr>
        <w:t>Table 2</w:t>
      </w:r>
      <w:proofErr w:type="gramStart"/>
      <w:r>
        <w:rPr>
          <w:rStyle w:val="Strong"/>
          <w:b w:val="0"/>
          <w:bCs w:val="0"/>
        </w:rPr>
        <w:t xml:space="preserve">. </w:t>
      </w:r>
      <w:proofErr w:type="gramEnd"/>
      <w:r>
        <w:rPr>
          <w:rStyle w:val="Strong"/>
          <w:b w:val="0"/>
          <w:bCs w:val="0"/>
        </w:rPr>
        <w:t>Key Metrics — 5-Year Duration Portfolio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064"/>
        <w:gridCol w:w="3727"/>
      </w:tblGrid>
      <w:tr w:rsidR="005034BF" w14:paraId="603227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EED2B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A9D7F95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73465CC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5034BF" w14:paraId="73E37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3532" w14:textId="77777777" w:rsidR="005034BF" w:rsidRDefault="005034BF">
            <w:r>
              <w:t>Yield (to maturity)</w:t>
            </w:r>
          </w:p>
        </w:tc>
        <w:tc>
          <w:tcPr>
            <w:tcW w:w="0" w:type="auto"/>
            <w:vAlign w:val="center"/>
            <w:hideMark/>
          </w:tcPr>
          <w:p w14:paraId="2ABBA8D1" w14:textId="77777777" w:rsidR="005034BF" w:rsidRDefault="005034BF">
            <w:r>
              <w:t>X% (+~X bps vs 3Y)</w:t>
            </w:r>
          </w:p>
        </w:tc>
        <w:tc>
          <w:tcPr>
            <w:tcW w:w="0" w:type="auto"/>
            <w:vAlign w:val="center"/>
            <w:hideMark/>
          </w:tcPr>
          <w:p w14:paraId="7C4811E5" w14:textId="77777777" w:rsidR="005034BF" w:rsidRDefault="005034BF">
            <w:r>
              <w:t>Incremental yield pickup.</w:t>
            </w:r>
          </w:p>
        </w:tc>
      </w:tr>
      <w:tr w:rsidR="005034BF" w14:paraId="05C39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EF55" w14:textId="77777777" w:rsidR="005034BF" w:rsidRDefault="005034BF">
            <w:r>
              <w:t>Option-Adjusted Spread (OAS)</w:t>
            </w:r>
          </w:p>
        </w:tc>
        <w:tc>
          <w:tcPr>
            <w:tcW w:w="0" w:type="auto"/>
            <w:vAlign w:val="center"/>
            <w:hideMark/>
          </w:tcPr>
          <w:p w14:paraId="33DB8298" w14:textId="77777777" w:rsidR="005034BF" w:rsidRDefault="005034BF">
            <w:r>
              <w:t>X bps</w:t>
            </w:r>
          </w:p>
        </w:tc>
        <w:tc>
          <w:tcPr>
            <w:tcW w:w="0" w:type="auto"/>
            <w:vAlign w:val="center"/>
            <w:hideMark/>
          </w:tcPr>
          <w:p w14:paraId="072DDEA8" w14:textId="77777777" w:rsidR="005034BF" w:rsidRDefault="005034BF">
            <w:r>
              <w:t>Little change from 3Y.</w:t>
            </w:r>
          </w:p>
        </w:tc>
      </w:tr>
      <w:tr w:rsidR="005034BF" w14:paraId="760D5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7967" w14:textId="77777777" w:rsidR="005034BF" w:rsidRDefault="005034BF">
            <w:r>
              <w:t>Modified Duration</w:t>
            </w:r>
          </w:p>
        </w:tc>
        <w:tc>
          <w:tcPr>
            <w:tcW w:w="0" w:type="auto"/>
            <w:vAlign w:val="center"/>
            <w:hideMark/>
          </w:tcPr>
          <w:p w14:paraId="2CE244A1" w14:textId="77777777" w:rsidR="005034BF" w:rsidRDefault="005034BF">
            <w:r>
              <w:t>~5.0 yrs</w:t>
            </w:r>
          </w:p>
        </w:tc>
        <w:tc>
          <w:tcPr>
            <w:tcW w:w="0" w:type="auto"/>
            <w:vAlign w:val="center"/>
            <w:hideMark/>
          </w:tcPr>
          <w:p w14:paraId="7F6F90A7" w14:textId="77777777" w:rsidR="005034BF" w:rsidRDefault="005034BF">
            <w:r>
              <w:t>Higher rate sensitivity.</w:t>
            </w:r>
          </w:p>
        </w:tc>
      </w:tr>
      <w:tr w:rsidR="005034BF" w14:paraId="23907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A445" w14:textId="77777777" w:rsidR="005034BF" w:rsidRDefault="005034BF">
            <w:r>
              <w:t>DV01</w:t>
            </w:r>
          </w:p>
        </w:tc>
        <w:tc>
          <w:tcPr>
            <w:tcW w:w="0" w:type="auto"/>
            <w:vAlign w:val="center"/>
            <w:hideMark/>
          </w:tcPr>
          <w:p w14:paraId="18C2F2C4" w14:textId="77777777" w:rsidR="005034BF" w:rsidRDefault="005034BF">
            <w:r>
              <w:t>$</w:t>
            </w:r>
            <w:proofErr w:type="spellStart"/>
            <w:r>
              <w:t>Xk</w:t>
            </w:r>
            <w:proofErr w:type="spellEnd"/>
            <w:r>
              <w:t xml:space="preserve"> / bp (+~X% vs 3Y)</w:t>
            </w:r>
          </w:p>
        </w:tc>
        <w:tc>
          <w:tcPr>
            <w:tcW w:w="0" w:type="auto"/>
            <w:vAlign w:val="center"/>
            <w:hideMark/>
          </w:tcPr>
          <w:p w14:paraId="09E7FAE2" w14:textId="77777777" w:rsidR="005034BF" w:rsidRDefault="005034BF">
            <w:r>
              <w:t>Larger mark-to-market swings.</w:t>
            </w:r>
          </w:p>
        </w:tc>
      </w:tr>
      <w:tr w:rsidR="005034BF" w14:paraId="095E6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E7A1D" w14:textId="77777777" w:rsidR="005034BF" w:rsidRDefault="005034BF">
            <w:r>
              <w:t>Spread Duration</w:t>
            </w:r>
          </w:p>
        </w:tc>
        <w:tc>
          <w:tcPr>
            <w:tcW w:w="0" w:type="auto"/>
            <w:vAlign w:val="center"/>
            <w:hideMark/>
          </w:tcPr>
          <w:p w14:paraId="615F9621" w14:textId="77777777" w:rsidR="005034BF" w:rsidRDefault="005034BF">
            <w:r>
              <w:t>X yrs</w:t>
            </w:r>
          </w:p>
        </w:tc>
        <w:tc>
          <w:tcPr>
            <w:tcW w:w="0" w:type="auto"/>
            <w:vAlign w:val="center"/>
            <w:hideMark/>
          </w:tcPr>
          <w:p w14:paraId="2B0F69E6" w14:textId="77777777" w:rsidR="005034BF" w:rsidRDefault="005034BF">
            <w:r>
              <w:t>More exposed to spread moves.</w:t>
            </w:r>
          </w:p>
        </w:tc>
      </w:tr>
      <w:tr w:rsidR="005034BF" w14:paraId="01CADA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1189" w14:textId="77777777" w:rsidR="005034BF" w:rsidRDefault="005034BF">
            <w:r>
              <w:t>Convexity (CV01)</w:t>
            </w:r>
          </w:p>
        </w:tc>
        <w:tc>
          <w:tcPr>
            <w:tcW w:w="0" w:type="auto"/>
            <w:vAlign w:val="center"/>
            <w:hideMark/>
          </w:tcPr>
          <w:p w14:paraId="6C796386" w14:textId="77777777" w:rsidR="005034BF" w:rsidRDefault="005034BF">
            <w:r>
              <w:t>X</w:t>
            </w:r>
          </w:p>
        </w:tc>
        <w:tc>
          <w:tcPr>
            <w:tcW w:w="0" w:type="auto"/>
            <w:vAlign w:val="center"/>
            <w:hideMark/>
          </w:tcPr>
          <w:p w14:paraId="07EBF2B6" w14:textId="77777777" w:rsidR="005034BF" w:rsidRDefault="005034BF">
            <w:r>
              <w:t>Higher curve sensitivity.</w:t>
            </w:r>
          </w:p>
        </w:tc>
      </w:tr>
      <w:tr w:rsidR="005034BF" w14:paraId="05146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59FED" w14:textId="77777777" w:rsidR="005034BF" w:rsidRDefault="005034BF">
            <w:r>
              <w:t>Average Credit Rating</w:t>
            </w:r>
          </w:p>
        </w:tc>
        <w:tc>
          <w:tcPr>
            <w:tcW w:w="0" w:type="auto"/>
            <w:vAlign w:val="center"/>
            <w:hideMark/>
          </w:tcPr>
          <w:p w14:paraId="64752CC7" w14:textId="77777777" w:rsidR="005034BF" w:rsidRDefault="005034BF">
            <w:r>
              <w:t>A / BBB+</w:t>
            </w:r>
          </w:p>
        </w:tc>
        <w:tc>
          <w:tcPr>
            <w:tcW w:w="0" w:type="auto"/>
            <w:vAlign w:val="center"/>
            <w:hideMark/>
          </w:tcPr>
          <w:p w14:paraId="7E43AB6D" w14:textId="77777777" w:rsidR="005034BF" w:rsidRDefault="005034BF">
            <w:proofErr w:type="gramStart"/>
            <w:r>
              <w:t>Similar to</w:t>
            </w:r>
            <w:proofErr w:type="gramEnd"/>
            <w:r>
              <w:t xml:space="preserve"> 3Y.</w:t>
            </w:r>
          </w:p>
        </w:tc>
      </w:tr>
      <w:tr w:rsidR="005034BF" w14:paraId="52C57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DCE8" w14:textId="77777777" w:rsidR="005034BF" w:rsidRDefault="005034BF">
            <w:r>
              <w:t>5Y Realised Volatility</w:t>
            </w:r>
          </w:p>
        </w:tc>
        <w:tc>
          <w:tcPr>
            <w:tcW w:w="0" w:type="auto"/>
            <w:vAlign w:val="center"/>
            <w:hideMark/>
          </w:tcPr>
          <w:p w14:paraId="66039CED" w14:textId="77777777" w:rsidR="005034BF" w:rsidRDefault="005034BF">
            <w:r>
              <w:t>X% (+~X% vs 3Y)</w:t>
            </w:r>
          </w:p>
        </w:tc>
        <w:tc>
          <w:tcPr>
            <w:tcW w:w="0" w:type="auto"/>
            <w:vAlign w:val="center"/>
            <w:hideMark/>
          </w:tcPr>
          <w:p w14:paraId="33A818A0" w14:textId="77777777" w:rsidR="005034BF" w:rsidRDefault="005034BF">
            <w:r>
              <w:t>Noticeable increase.</w:t>
            </w:r>
          </w:p>
        </w:tc>
      </w:tr>
      <w:tr w:rsidR="005034BF" w14:paraId="36A4A1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39CE1" w14:textId="77777777" w:rsidR="005034BF" w:rsidRDefault="005034BF">
            <w:r>
              <w:t>5Y Sharpe Ratio</w:t>
            </w:r>
          </w:p>
        </w:tc>
        <w:tc>
          <w:tcPr>
            <w:tcW w:w="0" w:type="auto"/>
            <w:vAlign w:val="center"/>
            <w:hideMark/>
          </w:tcPr>
          <w:p w14:paraId="17765508" w14:textId="77777777" w:rsidR="005034BF" w:rsidRDefault="005034BF">
            <w:r>
              <w:t>X</w:t>
            </w:r>
          </w:p>
        </w:tc>
        <w:tc>
          <w:tcPr>
            <w:tcW w:w="0" w:type="auto"/>
            <w:vAlign w:val="center"/>
            <w:hideMark/>
          </w:tcPr>
          <w:p w14:paraId="31A8DFF6" w14:textId="77777777" w:rsidR="005034BF" w:rsidRDefault="005034BF">
            <w:r>
              <w:t>Comparable to 3Y, not clearly superior.</w:t>
            </w:r>
          </w:p>
        </w:tc>
      </w:tr>
    </w:tbl>
    <w:p w14:paraId="64E21EF4" w14:textId="77777777" w:rsidR="005034BF" w:rsidRDefault="005034BF" w:rsidP="005034BF">
      <w:r>
        <w:pict w14:anchorId="3E06B823">
          <v:rect id="_x0000_i1050" style="width:0;height:1.5pt" o:hralign="center" o:hrstd="t" o:hr="t" fillcolor="#a0a0a0" stroked="f"/>
        </w:pict>
      </w:r>
    </w:p>
    <w:p w14:paraId="51CA7305" w14:textId="77777777" w:rsidR="005034BF" w:rsidRDefault="005034BF" w:rsidP="005034BF">
      <w:pPr>
        <w:pStyle w:val="Heading2"/>
      </w:pPr>
      <w:r>
        <w:rPr>
          <w:rStyle w:val="Strong"/>
          <w:b w:val="0"/>
          <w:bCs w:val="0"/>
        </w:rPr>
        <w:lastRenderedPageBreak/>
        <w:t>Table 3</w:t>
      </w:r>
      <w:proofErr w:type="gramStart"/>
      <w:r>
        <w:rPr>
          <w:rStyle w:val="Strong"/>
          <w:b w:val="0"/>
          <w:bCs w:val="0"/>
        </w:rPr>
        <w:t xml:space="preserve">. </w:t>
      </w:r>
      <w:proofErr w:type="gramEnd"/>
      <w:r>
        <w:rPr>
          <w:rStyle w:val="Strong"/>
          <w:b w:val="0"/>
          <w:bCs w:val="0"/>
        </w:rPr>
        <w:t>Key Metrics — 7-Year Duration Portfolio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2093"/>
        <w:gridCol w:w="4026"/>
      </w:tblGrid>
      <w:tr w:rsidR="005034BF" w14:paraId="116555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B74BC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2AA3C0A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7CE537B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5034BF" w14:paraId="57DFB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269D" w14:textId="77777777" w:rsidR="005034BF" w:rsidRDefault="005034BF">
            <w:r>
              <w:t>Yield (to maturity)</w:t>
            </w:r>
          </w:p>
        </w:tc>
        <w:tc>
          <w:tcPr>
            <w:tcW w:w="0" w:type="auto"/>
            <w:vAlign w:val="center"/>
            <w:hideMark/>
          </w:tcPr>
          <w:p w14:paraId="7084455A" w14:textId="77777777" w:rsidR="005034BF" w:rsidRDefault="005034BF">
            <w:r>
              <w:t>X% (+~X bps vs 3Y)</w:t>
            </w:r>
          </w:p>
        </w:tc>
        <w:tc>
          <w:tcPr>
            <w:tcW w:w="0" w:type="auto"/>
            <w:vAlign w:val="center"/>
            <w:hideMark/>
          </w:tcPr>
          <w:p w14:paraId="1D657254" w14:textId="77777777" w:rsidR="005034BF" w:rsidRDefault="005034BF">
            <w:r>
              <w:t>Highest carry but not enough to offset risk.</w:t>
            </w:r>
          </w:p>
        </w:tc>
      </w:tr>
      <w:tr w:rsidR="005034BF" w14:paraId="7489E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6C91" w14:textId="77777777" w:rsidR="005034BF" w:rsidRDefault="005034BF">
            <w:r>
              <w:t>Option-Adjusted Spread (OAS)</w:t>
            </w:r>
          </w:p>
        </w:tc>
        <w:tc>
          <w:tcPr>
            <w:tcW w:w="0" w:type="auto"/>
            <w:vAlign w:val="center"/>
            <w:hideMark/>
          </w:tcPr>
          <w:p w14:paraId="2D29D05E" w14:textId="77777777" w:rsidR="005034BF" w:rsidRDefault="005034BF">
            <w:r>
              <w:t>X bps</w:t>
            </w:r>
          </w:p>
        </w:tc>
        <w:tc>
          <w:tcPr>
            <w:tcW w:w="0" w:type="auto"/>
            <w:vAlign w:val="center"/>
            <w:hideMark/>
          </w:tcPr>
          <w:p w14:paraId="382B69E2" w14:textId="77777777" w:rsidR="005034BF" w:rsidRDefault="005034BF">
            <w:r>
              <w:t>Unchanged.</w:t>
            </w:r>
          </w:p>
        </w:tc>
      </w:tr>
      <w:tr w:rsidR="005034BF" w14:paraId="794AF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CDC5" w14:textId="77777777" w:rsidR="005034BF" w:rsidRDefault="005034BF">
            <w:r>
              <w:t>Modified Duration</w:t>
            </w:r>
          </w:p>
        </w:tc>
        <w:tc>
          <w:tcPr>
            <w:tcW w:w="0" w:type="auto"/>
            <w:vAlign w:val="center"/>
            <w:hideMark/>
          </w:tcPr>
          <w:p w14:paraId="779AF7DF" w14:textId="77777777" w:rsidR="005034BF" w:rsidRDefault="005034BF">
            <w:r>
              <w:t>~7.0 yrs</w:t>
            </w:r>
          </w:p>
        </w:tc>
        <w:tc>
          <w:tcPr>
            <w:tcW w:w="0" w:type="auto"/>
            <w:vAlign w:val="center"/>
            <w:hideMark/>
          </w:tcPr>
          <w:p w14:paraId="0F242924" w14:textId="77777777" w:rsidR="005034BF" w:rsidRDefault="005034BF">
            <w:r>
              <w:t>Significant duration extension.</w:t>
            </w:r>
          </w:p>
        </w:tc>
      </w:tr>
      <w:tr w:rsidR="005034BF" w14:paraId="4FA86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0A89" w14:textId="77777777" w:rsidR="005034BF" w:rsidRDefault="005034BF">
            <w:r>
              <w:t>DV01</w:t>
            </w:r>
          </w:p>
        </w:tc>
        <w:tc>
          <w:tcPr>
            <w:tcW w:w="0" w:type="auto"/>
            <w:vAlign w:val="center"/>
            <w:hideMark/>
          </w:tcPr>
          <w:p w14:paraId="503EFE83" w14:textId="77777777" w:rsidR="005034BF" w:rsidRDefault="005034BF">
            <w:r>
              <w:t>$</w:t>
            </w:r>
            <w:proofErr w:type="spellStart"/>
            <w:r>
              <w:t>Xk</w:t>
            </w:r>
            <w:proofErr w:type="spellEnd"/>
            <w:r>
              <w:t xml:space="preserve"> / bp (~2x 3Y)</w:t>
            </w:r>
          </w:p>
        </w:tc>
        <w:tc>
          <w:tcPr>
            <w:tcW w:w="0" w:type="auto"/>
            <w:vAlign w:val="center"/>
            <w:hideMark/>
          </w:tcPr>
          <w:p w14:paraId="1BB6D224" w14:textId="77777777" w:rsidR="005034BF" w:rsidRDefault="005034BF">
            <w:r>
              <w:t xml:space="preserve">Very </w:t>
            </w:r>
            <w:proofErr w:type="gramStart"/>
            <w:r>
              <w:t>high rate</w:t>
            </w:r>
            <w:proofErr w:type="gramEnd"/>
            <w:r>
              <w:t xml:space="preserve"> sensitivity.</w:t>
            </w:r>
          </w:p>
        </w:tc>
      </w:tr>
      <w:tr w:rsidR="005034BF" w14:paraId="337217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8DFDD" w14:textId="77777777" w:rsidR="005034BF" w:rsidRDefault="005034BF">
            <w:r>
              <w:t>Spread Duration</w:t>
            </w:r>
          </w:p>
        </w:tc>
        <w:tc>
          <w:tcPr>
            <w:tcW w:w="0" w:type="auto"/>
            <w:vAlign w:val="center"/>
            <w:hideMark/>
          </w:tcPr>
          <w:p w14:paraId="1D00CFF8" w14:textId="77777777" w:rsidR="005034BF" w:rsidRDefault="005034BF">
            <w:r>
              <w:t>X yrs</w:t>
            </w:r>
          </w:p>
        </w:tc>
        <w:tc>
          <w:tcPr>
            <w:tcW w:w="0" w:type="auto"/>
            <w:vAlign w:val="center"/>
            <w:hideMark/>
          </w:tcPr>
          <w:p w14:paraId="433716CA" w14:textId="77777777" w:rsidR="005034BF" w:rsidRDefault="005034BF">
            <w:r>
              <w:t>Increased exposure to spreads.</w:t>
            </w:r>
          </w:p>
        </w:tc>
      </w:tr>
      <w:tr w:rsidR="005034BF" w14:paraId="55E535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AE6F" w14:textId="77777777" w:rsidR="005034BF" w:rsidRDefault="005034BF">
            <w:r>
              <w:t>Convexity (CV01)</w:t>
            </w:r>
          </w:p>
        </w:tc>
        <w:tc>
          <w:tcPr>
            <w:tcW w:w="0" w:type="auto"/>
            <w:vAlign w:val="center"/>
            <w:hideMark/>
          </w:tcPr>
          <w:p w14:paraId="3D469F48" w14:textId="77777777" w:rsidR="005034BF" w:rsidRDefault="005034BF">
            <w:r>
              <w:t>X</w:t>
            </w:r>
          </w:p>
        </w:tc>
        <w:tc>
          <w:tcPr>
            <w:tcW w:w="0" w:type="auto"/>
            <w:vAlign w:val="center"/>
            <w:hideMark/>
          </w:tcPr>
          <w:p w14:paraId="59596785" w14:textId="77777777" w:rsidR="005034BF" w:rsidRDefault="005034BF">
            <w:r>
              <w:t>Strong convexity effects.</w:t>
            </w:r>
          </w:p>
        </w:tc>
      </w:tr>
      <w:tr w:rsidR="005034BF" w14:paraId="77E16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9353" w14:textId="77777777" w:rsidR="005034BF" w:rsidRDefault="005034BF">
            <w:r>
              <w:t>Average Credit Rating</w:t>
            </w:r>
          </w:p>
        </w:tc>
        <w:tc>
          <w:tcPr>
            <w:tcW w:w="0" w:type="auto"/>
            <w:vAlign w:val="center"/>
            <w:hideMark/>
          </w:tcPr>
          <w:p w14:paraId="5CA6A800" w14:textId="77777777" w:rsidR="005034BF" w:rsidRDefault="005034BF">
            <w:r>
              <w:t>A / BBB+</w:t>
            </w:r>
          </w:p>
        </w:tc>
        <w:tc>
          <w:tcPr>
            <w:tcW w:w="0" w:type="auto"/>
            <w:vAlign w:val="center"/>
            <w:hideMark/>
          </w:tcPr>
          <w:p w14:paraId="0087E178" w14:textId="77777777" w:rsidR="005034BF" w:rsidRDefault="005034BF">
            <w:r>
              <w:t>No material change.</w:t>
            </w:r>
          </w:p>
        </w:tc>
      </w:tr>
      <w:tr w:rsidR="005034BF" w14:paraId="28805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883C" w14:textId="77777777" w:rsidR="005034BF" w:rsidRDefault="005034BF">
            <w:r>
              <w:t>5Y Realised Volatility</w:t>
            </w:r>
          </w:p>
        </w:tc>
        <w:tc>
          <w:tcPr>
            <w:tcW w:w="0" w:type="auto"/>
            <w:vAlign w:val="center"/>
            <w:hideMark/>
          </w:tcPr>
          <w:p w14:paraId="28FC1754" w14:textId="77777777" w:rsidR="005034BF" w:rsidRDefault="005034BF">
            <w:r>
              <w:t>X% (materially higher)</w:t>
            </w:r>
          </w:p>
        </w:tc>
        <w:tc>
          <w:tcPr>
            <w:tcW w:w="0" w:type="auto"/>
            <w:vAlign w:val="center"/>
            <w:hideMark/>
          </w:tcPr>
          <w:p w14:paraId="6A17A776" w14:textId="77777777" w:rsidR="005034BF" w:rsidRDefault="005034BF">
            <w:r>
              <w:t>Highest volatility of all scenarios.</w:t>
            </w:r>
          </w:p>
        </w:tc>
      </w:tr>
      <w:tr w:rsidR="005034BF" w14:paraId="6A3CD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44B2" w14:textId="77777777" w:rsidR="005034BF" w:rsidRDefault="005034BF">
            <w:r>
              <w:t>5Y Sharpe Ratio</w:t>
            </w:r>
          </w:p>
        </w:tc>
        <w:tc>
          <w:tcPr>
            <w:tcW w:w="0" w:type="auto"/>
            <w:vAlign w:val="center"/>
            <w:hideMark/>
          </w:tcPr>
          <w:p w14:paraId="33BA3B41" w14:textId="77777777" w:rsidR="005034BF" w:rsidRDefault="005034BF">
            <w:r>
              <w:t>X</w:t>
            </w:r>
          </w:p>
        </w:tc>
        <w:tc>
          <w:tcPr>
            <w:tcW w:w="0" w:type="auto"/>
            <w:vAlign w:val="center"/>
            <w:hideMark/>
          </w:tcPr>
          <w:p w14:paraId="0A7FF73F" w14:textId="77777777" w:rsidR="005034BF" w:rsidRDefault="005034BF">
            <w:r>
              <w:t>Inconsistent, weaker in rising-rate periods.</w:t>
            </w:r>
          </w:p>
        </w:tc>
      </w:tr>
    </w:tbl>
    <w:p w14:paraId="3BD34A26" w14:textId="77777777" w:rsidR="005034BF" w:rsidRDefault="005034BF" w:rsidP="005034BF">
      <w:r>
        <w:pict w14:anchorId="22D2E504">
          <v:rect id="_x0000_i1051" style="width:0;height:1.5pt" o:hralign="center" o:hrstd="t" o:hr="t" fillcolor="#a0a0a0" stroked="f"/>
        </w:pict>
      </w:r>
    </w:p>
    <w:p w14:paraId="33D062B5" w14:textId="77777777" w:rsidR="005034BF" w:rsidRDefault="005034BF" w:rsidP="005034BF">
      <w:pPr>
        <w:pStyle w:val="Heading2"/>
      </w:pPr>
      <w:r>
        <w:rPr>
          <w:rStyle w:val="Strong"/>
          <w:b w:val="0"/>
          <w:bCs w:val="0"/>
        </w:rPr>
        <w:t>Table 4</w:t>
      </w:r>
      <w:proofErr w:type="gramStart"/>
      <w:r>
        <w:rPr>
          <w:rStyle w:val="Strong"/>
          <w:b w:val="0"/>
          <w:bCs w:val="0"/>
        </w:rPr>
        <w:t xml:space="preserve">. </w:t>
      </w:r>
      <w:proofErr w:type="gramEnd"/>
      <w:r>
        <w:rPr>
          <w:rStyle w:val="Strong"/>
          <w:b w:val="0"/>
          <w:bCs w:val="0"/>
        </w:rPr>
        <w:t>Scenario Analysis — Curve Outcomes (Illustrative)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538"/>
        <w:gridCol w:w="1206"/>
        <w:gridCol w:w="1206"/>
        <w:gridCol w:w="3655"/>
      </w:tblGrid>
      <w:tr w:rsidR="005034BF" w14:paraId="552736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7777E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8601064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3Y Portfolio</w:t>
            </w:r>
          </w:p>
        </w:tc>
        <w:tc>
          <w:tcPr>
            <w:tcW w:w="0" w:type="auto"/>
            <w:vAlign w:val="center"/>
            <w:hideMark/>
          </w:tcPr>
          <w:p w14:paraId="68618A37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5Y Portfolio</w:t>
            </w:r>
          </w:p>
        </w:tc>
        <w:tc>
          <w:tcPr>
            <w:tcW w:w="0" w:type="auto"/>
            <w:vAlign w:val="center"/>
            <w:hideMark/>
          </w:tcPr>
          <w:p w14:paraId="01006189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7Y Portfolio</w:t>
            </w:r>
          </w:p>
        </w:tc>
        <w:tc>
          <w:tcPr>
            <w:tcW w:w="0" w:type="auto"/>
            <w:vAlign w:val="center"/>
            <w:hideMark/>
          </w:tcPr>
          <w:p w14:paraId="06AA7A6C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5034BF" w14:paraId="3F2B0F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E83AA" w14:textId="77777777" w:rsidR="005034BF" w:rsidRDefault="005034BF">
            <w:r>
              <w:t>Parallel -50bp</w:t>
            </w:r>
          </w:p>
        </w:tc>
        <w:tc>
          <w:tcPr>
            <w:tcW w:w="0" w:type="auto"/>
            <w:vAlign w:val="center"/>
            <w:hideMark/>
          </w:tcPr>
          <w:p w14:paraId="16BDF0E5" w14:textId="77777777" w:rsidR="005034BF" w:rsidRDefault="005034BF">
            <w:r>
              <w:t>+X%</w:t>
            </w:r>
          </w:p>
        </w:tc>
        <w:tc>
          <w:tcPr>
            <w:tcW w:w="0" w:type="auto"/>
            <w:vAlign w:val="center"/>
            <w:hideMark/>
          </w:tcPr>
          <w:p w14:paraId="0FCF3665" w14:textId="77777777" w:rsidR="005034BF" w:rsidRDefault="005034BF">
            <w:r>
              <w:t>+X%</w:t>
            </w:r>
          </w:p>
        </w:tc>
        <w:tc>
          <w:tcPr>
            <w:tcW w:w="0" w:type="auto"/>
            <w:vAlign w:val="center"/>
            <w:hideMark/>
          </w:tcPr>
          <w:p w14:paraId="1B6672D2" w14:textId="77777777" w:rsidR="005034BF" w:rsidRDefault="005034BF">
            <w:r>
              <w:t>+X%</w:t>
            </w:r>
          </w:p>
        </w:tc>
        <w:tc>
          <w:tcPr>
            <w:tcW w:w="0" w:type="auto"/>
            <w:vAlign w:val="center"/>
            <w:hideMark/>
          </w:tcPr>
          <w:p w14:paraId="444FA99F" w14:textId="77777777" w:rsidR="005034BF" w:rsidRDefault="005034BF">
            <w:r>
              <w:t>Longer portfolios outperform in rallies.</w:t>
            </w:r>
          </w:p>
        </w:tc>
      </w:tr>
      <w:tr w:rsidR="005034BF" w14:paraId="00354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74CA" w14:textId="77777777" w:rsidR="005034BF" w:rsidRDefault="005034BF">
            <w:r>
              <w:t>Parallel +50bp</w:t>
            </w:r>
          </w:p>
        </w:tc>
        <w:tc>
          <w:tcPr>
            <w:tcW w:w="0" w:type="auto"/>
            <w:vAlign w:val="center"/>
            <w:hideMark/>
          </w:tcPr>
          <w:p w14:paraId="63474E29" w14:textId="77777777" w:rsidR="005034BF" w:rsidRDefault="005034BF">
            <w:r>
              <w:t>–X%</w:t>
            </w:r>
          </w:p>
        </w:tc>
        <w:tc>
          <w:tcPr>
            <w:tcW w:w="0" w:type="auto"/>
            <w:vAlign w:val="center"/>
            <w:hideMark/>
          </w:tcPr>
          <w:p w14:paraId="418E6093" w14:textId="77777777" w:rsidR="005034BF" w:rsidRDefault="005034BF">
            <w:r>
              <w:t>–X%</w:t>
            </w:r>
          </w:p>
        </w:tc>
        <w:tc>
          <w:tcPr>
            <w:tcW w:w="0" w:type="auto"/>
            <w:vAlign w:val="center"/>
            <w:hideMark/>
          </w:tcPr>
          <w:p w14:paraId="0E1BAD8A" w14:textId="77777777" w:rsidR="005034BF" w:rsidRDefault="005034BF">
            <w:r>
              <w:t>–X%</w:t>
            </w:r>
          </w:p>
        </w:tc>
        <w:tc>
          <w:tcPr>
            <w:tcW w:w="0" w:type="auto"/>
            <w:vAlign w:val="center"/>
            <w:hideMark/>
          </w:tcPr>
          <w:p w14:paraId="56DD3B35" w14:textId="77777777" w:rsidR="005034BF" w:rsidRDefault="005034BF">
            <w:r>
              <w:t>Losses amplified with duration.</w:t>
            </w:r>
          </w:p>
        </w:tc>
      </w:tr>
      <w:tr w:rsidR="005034BF" w14:paraId="3A129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0C7D" w14:textId="77777777" w:rsidR="005034BF" w:rsidRDefault="005034BF">
            <w:r>
              <w:t>Steepening</w:t>
            </w:r>
          </w:p>
        </w:tc>
        <w:tc>
          <w:tcPr>
            <w:tcW w:w="0" w:type="auto"/>
            <w:vAlign w:val="center"/>
            <w:hideMark/>
          </w:tcPr>
          <w:p w14:paraId="173FC246" w14:textId="77777777" w:rsidR="005034BF" w:rsidRDefault="005034BF">
            <w:r>
              <w:t>Flat / small loss</w:t>
            </w:r>
          </w:p>
        </w:tc>
        <w:tc>
          <w:tcPr>
            <w:tcW w:w="0" w:type="auto"/>
            <w:vAlign w:val="center"/>
            <w:hideMark/>
          </w:tcPr>
          <w:p w14:paraId="040CB561" w14:textId="77777777" w:rsidR="005034BF" w:rsidRDefault="005034BF">
            <w:r>
              <w:t>–X%</w:t>
            </w:r>
          </w:p>
        </w:tc>
        <w:tc>
          <w:tcPr>
            <w:tcW w:w="0" w:type="auto"/>
            <w:vAlign w:val="center"/>
            <w:hideMark/>
          </w:tcPr>
          <w:p w14:paraId="76970DE0" w14:textId="77777777" w:rsidR="005034BF" w:rsidRDefault="005034BF">
            <w:r>
              <w:t>–X%</w:t>
            </w:r>
          </w:p>
        </w:tc>
        <w:tc>
          <w:tcPr>
            <w:tcW w:w="0" w:type="auto"/>
            <w:vAlign w:val="center"/>
            <w:hideMark/>
          </w:tcPr>
          <w:p w14:paraId="1BFC5341" w14:textId="77777777" w:rsidR="005034BF" w:rsidRDefault="005034BF">
            <w:r>
              <w:t>Longer portfolios underperform.</w:t>
            </w:r>
          </w:p>
        </w:tc>
      </w:tr>
      <w:tr w:rsidR="005034BF" w14:paraId="310DE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D77E3" w14:textId="77777777" w:rsidR="005034BF" w:rsidRDefault="005034BF">
            <w:r>
              <w:t>Flattening</w:t>
            </w:r>
          </w:p>
        </w:tc>
        <w:tc>
          <w:tcPr>
            <w:tcW w:w="0" w:type="auto"/>
            <w:vAlign w:val="center"/>
            <w:hideMark/>
          </w:tcPr>
          <w:p w14:paraId="5DAD2E6F" w14:textId="77777777" w:rsidR="005034BF" w:rsidRDefault="005034BF">
            <w:r>
              <w:t>Flat / small gain</w:t>
            </w:r>
          </w:p>
        </w:tc>
        <w:tc>
          <w:tcPr>
            <w:tcW w:w="0" w:type="auto"/>
            <w:vAlign w:val="center"/>
            <w:hideMark/>
          </w:tcPr>
          <w:p w14:paraId="57DB329D" w14:textId="77777777" w:rsidR="005034BF" w:rsidRDefault="005034BF">
            <w:r>
              <w:t>+X%</w:t>
            </w:r>
          </w:p>
        </w:tc>
        <w:tc>
          <w:tcPr>
            <w:tcW w:w="0" w:type="auto"/>
            <w:vAlign w:val="center"/>
            <w:hideMark/>
          </w:tcPr>
          <w:p w14:paraId="0F318628" w14:textId="77777777" w:rsidR="005034BF" w:rsidRDefault="005034BF">
            <w:r>
              <w:t>++X%</w:t>
            </w:r>
          </w:p>
        </w:tc>
        <w:tc>
          <w:tcPr>
            <w:tcW w:w="0" w:type="auto"/>
            <w:vAlign w:val="center"/>
            <w:hideMark/>
          </w:tcPr>
          <w:p w14:paraId="79F46D31" w14:textId="77777777" w:rsidR="005034BF" w:rsidRDefault="005034BF">
            <w:r>
              <w:t>Longer portfolios benefit most.</w:t>
            </w:r>
          </w:p>
        </w:tc>
      </w:tr>
    </w:tbl>
    <w:p w14:paraId="16D64A73" w14:textId="36D1A82B" w:rsidR="005034BF" w:rsidRDefault="005034BF"/>
    <w:p w14:paraId="242D5124" w14:textId="77777777" w:rsidR="005034BF" w:rsidRDefault="005034BF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218"/>
        <w:gridCol w:w="1565"/>
        <w:gridCol w:w="1716"/>
        <w:gridCol w:w="2706"/>
      </w:tblGrid>
      <w:tr w:rsidR="005034BF" w14:paraId="64AF5A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6EA91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Metric / Consideration</w:t>
            </w:r>
          </w:p>
        </w:tc>
        <w:tc>
          <w:tcPr>
            <w:tcW w:w="0" w:type="auto"/>
            <w:vAlign w:val="center"/>
            <w:hideMark/>
          </w:tcPr>
          <w:p w14:paraId="7B11B156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3-Year Portfolio</w:t>
            </w:r>
          </w:p>
        </w:tc>
        <w:tc>
          <w:tcPr>
            <w:tcW w:w="0" w:type="auto"/>
            <w:vAlign w:val="center"/>
            <w:hideMark/>
          </w:tcPr>
          <w:p w14:paraId="70CD2953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5-Year Portfolio</w:t>
            </w:r>
          </w:p>
        </w:tc>
        <w:tc>
          <w:tcPr>
            <w:tcW w:w="0" w:type="auto"/>
            <w:vAlign w:val="center"/>
            <w:hideMark/>
          </w:tcPr>
          <w:p w14:paraId="09B74360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7-Year Portfolio</w:t>
            </w:r>
          </w:p>
        </w:tc>
        <w:tc>
          <w:tcPr>
            <w:tcW w:w="0" w:type="auto"/>
            <w:vAlign w:val="center"/>
            <w:hideMark/>
          </w:tcPr>
          <w:p w14:paraId="56A074D8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5034BF" w14:paraId="4E3DE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379B" w14:textId="77777777" w:rsidR="005034BF" w:rsidRDefault="005034BF">
            <w:r>
              <w:rPr>
                <w:rStyle w:val="Strong"/>
              </w:rPr>
              <w:t>Yield (to maturity)</w:t>
            </w:r>
          </w:p>
        </w:tc>
        <w:tc>
          <w:tcPr>
            <w:tcW w:w="0" w:type="auto"/>
            <w:vAlign w:val="center"/>
            <w:hideMark/>
          </w:tcPr>
          <w:p w14:paraId="7FBB02A2" w14:textId="77777777" w:rsidR="005034BF" w:rsidRDefault="005034BF">
            <w:r>
              <w:t>X%</w:t>
            </w:r>
          </w:p>
        </w:tc>
        <w:tc>
          <w:tcPr>
            <w:tcW w:w="0" w:type="auto"/>
            <w:vAlign w:val="center"/>
            <w:hideMark/>
          </w:tcPr>
          <w:p w14:paraId="4460EC13" w14:textId="77777777" w:rsidR="005034BF" w:rsidRDefault="005034BF">
            <w:r>
              <w:t>X% (+~X bps)</w:t>
            </w:r>
          </w:p>
        </w:tc>
        <w:tc>
          <w:tcPr>
            <w:tcW w:w="0" w:type="auto"/>
            <w:vAlign w:val="center"/>
            <w:hideMark/>
          </w:tcPr>
          <w:p w14:paraId="554D6C0B" w14:textId="77777777" w:rsidR="005034BF" w:rsidRDefault="005034BF">
            <w:r>
              <w:t>X% (+~X bps)</w:t>
            </w:r>
          </w:p>
        </w:tc>
        <w:tc>
          <w:tcPr>
            <w:tcW w:w="0" w:type="auto"/>
            <w:vAlign w:val="center"/>
            <w:hideMark/>
          </w:tcPr>
          <w:p w14:paraId="1636C55B" w14:textId="77777777" w:rsidR="005034BF" w:rsidRDefault="005034BF">
            <w:r>
              <w:t>Longer portfolios offer incremental yield.</w:t>
            </w:r>
          </w:p>
        </w:tc>
      </w:tr>
      <w:tr w:rsidR="005034BF" w14:paraId="7E2B6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8E03" w14:textId="77777777" w:rsidR="005034BF" w:rsidRDefault="005034BF">
            <w:r>
              <w:rPr>
                <w:rStyle w:val="Strong"/>
              </w:rPr>
              <w:t>Modified Duration</w:t>
            </w:r>
          </w:p>
        </w:tc>
        <w:tc>
          <w:tcPr>
            <w:tcW w:w="0" w:type="auto"/>
            <w:vAlign w:val="center"/>
            <w:hideMark/>
          </w:tcPr>
          <w:p w14:paraId="043BE089" w14:textId="77777777" w:rsidR="005034BF" w:rsidRDefault="005034BF">
            <w:r>
              <w:t>~3.0 yrs</w:t>
            </w:r>
          </w:p>
        </w:tc>
        <w:tc>
          <w:tcPr>
            <w:tcW w:w="0" w:type="auto"/>
            <w:vAlign w:val="center"/>
            <w:hideMark/>
          </w:tcPr>
          <w:p w14:paraId="08219A46" w14:textId="77777777" w:rsidR="005034BF" w:rsidRDefault="005034BF">
            <w:r>
              <w:t>~5.0 yrs</w:t>
            </w:r>
          </w:p>
        </w:tc>
        <w:tc>
          <w:tcPr>
            <w:tcW w:w="0" w:type="auto"/>
            <w:vAlign w:val="center"/>
            <w:hideMark/>
          </w:tcPr>
          <w:p w14:paraId="0C28333E" w14:textId="77777777" w:rsidR="005034BF" w:rsidRDefault="005034BF">
            <w:r>
              <w:t>~7.0 yrs</w:t>
            </w:r>
          </w:p>
        </w:tc>
        <w:tc>
          <w:tcPr>
            <w:tcW w:w="0" w:type="auto"/>
            <w:vAlign w:val="center"/>
            <w:hideMark/>
          </w:tcPr>
          <w:p w14:paraId="7D4293C2" w14:textId="77777777" w:rsidR="005034BF" w:rsidRDefault="005034BF">
            <w:r>
              <w:t>Clear step-up in rate sensitivity.</w:t>
            </w:r>
          </w:p>
        </w:tc>
      </w:tr>
      <w:tr w:rsidR="005034BF" w14:paraId="398742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7668" w14:textId="77777777" w:rsidR="005034BF" w:rsidRDefault="005034BF">
            <w:r>
              <w:rPr>
                <w:rStyle w:val="Strong"/>
              </w:rPr>
              <w:t>DV01</w:t>
            </w:r>
          </w:p>
        </w:tc>
        <w:tc>
          <w:tcPr>
            <w:tcW w:w="0" w:type="auto"/>
            <w:vAlign w:val="center"/>
            <w:hideMark/>
          </w:tcPr>
          <w:p w14:paraId="691E6C7D" w14:textId="77777777" w:rsidR="005034BF" w:rsidRDefault="005034BF">
            <w:r>
              <w:t>$</w:t>
            </w:r>
            <w:proofErr w:type="spellStart"/>
            <w:r>
              <w:t>Xk</w:t>
            </w:r>
            <w:proofErr w:type="spellEnd"/>
            <w:r>
              <w:t xml:space="preserve"> / bp</w:t>
            </w:r>
          </w:p>
        </w:tc>
        <w:tc>
          <w:tcPr>
            <w:tcW w:w="0" w:type="auto"/>
            <w:vAlign w:val="center"/>
            <w:hideMark/>
          </w:tcPr>
          <w:p w14:paraId="4F34E927" w14:textId="77777777" w:rsidR="005034BF" w:rsidRDefault="005034BF">
            <w:r>
              <w:t>$</w:t>
            </w:r>
            <w:proofErr w:type="spellStart"/>
            <w:r>
              <w:t>Xk</w:t>
            </w:r>
            <w:proofErr w:type="spellEnd"/>
            <w:r>
              <w:t xml:space="preserve"> / bp (+~X%)</w:t>
            </w:r>
          </w:p>
        </w:tc>
        <w:tc>
          <w:tcPr>
            <w:tcW w:w="0" w:type="auto"/>
            <w:vAlign w:val="center"/>
            <w:hideMark/>
          </w:tcPr>
          <w:p w14:paraId="3BE14CAB" w14:textId="77777777" w:rsidR="005034BF" w:rsidRDefault="005034BF">
            <w:r>
              <w:t>$</w:t>
            </w:r>
            <w:proofErr w:type="spellStart"/>
            <w:r>
              <w:t>Xk</w:t>
            </w:r>
            <w:proofErr w:type="spellEnd"/>
            <w:r>
              <w:t xml:space="preserve"> / bp (~2x)</w:t>
            </w:r>
          </w:p>
        </w:tc>
        <w:tc>
          <w:tcPr>
            <w:tcW w:w="0" w:type="auto"/>
            <w:vAlign w:val="center"/>
            <w:hideMark/>
          </w:tcPr>
          <w:p w14:paraId="4D470B3F" w14:textId="77777777" w:rsidR="005034BF" w:rsidRDefault="005034BF">
            <w:r>
              <w:t>Mark-to-market risk rises significantly.</w:t>
            </w:r>
          </w:p>
        </w:tc>
      </w:tr>
      <w:tr w:rsidR="005034BF" w14:paraId="13CA4C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42A9" w14:textId="77777777" w:rsidR="005034BF" w:rsidRDefault="005034BF">
            <w:r>
              <w:rPr>
                <w:rStyle w:val="Strong"/>
              </w:rPr>
              <w:t>Spread Duration</w:t>
            </w:r>
          </w:p>
        </w:tc>
        <w:tc>
          <w:tcPr>
            <w:tcW w:w="0" w:type="auto"/>
            <w:vAlign w:val="center"/>
            <w:hideMark/>
          </w:tcPr>
          <w:p w14:paraId="2BDA0C69" w14:textId="77777777" w:rsidR="005034BF" w:rsidRDefault="005034BF">
            <w:r>
              <w:t>X yrs</w:t>
            </w:r>
          </w:p>
        </w:tc>
        <w:tc>
          <w:tcPr>
            <w:tcW w:w="0" w:type="auto"/>
            <w:vAlign w:val="center"/>
            <w:hideMark/>
          </w:tcPr>
          <w:p w14:paraId="671AE8C4" w14:textId="77777777" w:rsidR="005034BF" w:rsidRDefault="005034BF">
            <w:r>
              <w:t>X yrs (+~X%)</w:t>
            </w:r>
          </w:p>
        </w:tc>
        <w:tc>
          <w:tcPr>
            <w:tcW w:w="0" w:type="auto"/>
            <w:vAlign w:val="center"/>
            <w:hideMark/>
          </w:tcPr>
          <w:p w14:paraId="0E609221" w14:textId="77777777" w:rsidR="005034BF" w:rsidRDefault="005034BF">
            <w:r>
              <w:t>X yrs (+~X%)</w:t>
            </w:r>
          </w:p>
        </w:tc>
        <w:tc>
          <w:tcPr>
            <w:tcW w:w="0" w:type="auto"/>
            <w:vAlign w:val="center"/>
            <w:hideMark/>
          </w:tcPr>
          <w:p w14:paraId="29D2B72F" w14:textId="77777777" w:rsidR="005034BF" w:rsidRDefault="005034BF">
            <w:r>
              <w:t>More exposed to spread widening at longer durations.</w:t>
            </w:r>
          </w:p>
        </w:tc>
      </w:tr>
      <w:tr w:rsidR="005034BF" w14:paraId="4A2CDE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C70B" w14:textId="77777777" w:rsidR="005034BF" w:rsidRDefault="005034BF">
            <w:r>
              <w:rPr>
                <w:rStyle w:val="Strong"/>
              </w:rPr>
              <w:t>Convexity (CV01)</w:t>
            </w:r>
          </w:p>
        </w:tc>
        <w:tc>
          <w:tcPr>
            <w:tcW w:w="0" w:type="auto"/>
            <w:vAlign w:val="center"/>
            <w:hideMark/>
          </w:tcPr>
          <w:p w14:paraId="4728E5CF" w14:textId="77777777" w:rsidR="005034BF" w:rsidRDefault="005034BF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070516DC" w14:textId="77777777" w:rsidR="005034BF" w:rsidRDefault="005034BF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694AB589" w14:textId="77777777" w:rsidR="005034BF" w:rsidRDefault="005034BF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72232AC6" w14:textId="77777777" w:rsidR="005034BF" w:rsidRDefault="005034BF">
            <w:r>
              <w:t>Non-linear rate risk grows with duration.</w:t>
            </w:r>
          </w:p>
        </w:tc>
      </w:tr>
      <w:tr w:rsidR="005034BF" w14:paraId="16930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FB84" w14:textId="77777777" w:rsidR="005034BF" w:rsidRDefault="005034BF">
            <w:r>
              <w:rPr>
                <w:rStyle w:val="Strong"/>
              </w:rPr>
              <w:t>5Y Realised Volatility</w:t>
            </w:r>
          </w:p>
        </w:tc>
        <w:tc>
          <w:tcPr>
            <w:tcW w:w="0" w:type="auto"/>
            <w:vAlign w:val="center"/>
            <w:hideMark/>
          </w:tcPr>
          <w:p w14:paraId="41FBCE9F" w14:textId="77777777" w:rsidR="005034BF" w:rsidRDefault="005034BF">
            <w:r>
              <w:t>Lowest</w:t>
            </w:r>
          </w:p>
        </w:tc>
        <w:tc>
          <w:tcPr>
            <w:tcW w:w="0" w:type="auto"/>
            <w:vAlign w:val="center"/>
            <w:hideMark/>
          </w:tcPr>
          <w:p w14:paraId="7432712A" w14:textId="77777777" w:rsidR="005034BF" w:rsidRDefault="005034BF">
            <w:r>
              <w:t>Moderate (+~X%)</w:t>
            </w:r>
          </w:p>
        </w:tc>
        <w:tc>
          <w:tcPr>
            <w:tcW w:w="0" w:type="auto"/>
            <w:vAlign w:val="center"/>
            <w:hideMark/>
          </w:tcPr>
          <w:p w14:paraId="4E2C5C6E" w14:textId="77777777" w:rsidR="005034BF" w:rsidRDefault="005034BF">
            <w:r>
              <w:t>Highest (+~X%)</w:t>
            </w:r>
          </w:p>
        </w:tc>
        <w:tc>
          <w:tcPr>
            <w:tcW w:w="0" w:type="auto"/>
            <w:vAlign w:val="center"/>
            <w:hideMark/>
          </w:tcPr>
          <w:p w14:paraId="16E2D1B0" w14:textId="77777777" w:rsidR="005034BF" w:rsidRDefault="005034BF">
            <w:r>
              <w:t>Volatility rises sharply with duration.</w:t>
            </w:r>
          </w:p>
        </w:tc>
      </w:tr>
      <w:tr w:rsidR="005034BF" w14:paraId="1C460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5C0A7" w14:textId="77777777" w:rsidR="005034BF" w:rsidRDefault="005034BF">
            <w:r>
              <w:rPr>
                <w:rStyle w:val="Strong"/>
              </w:rPr>
              <w:t>Sharpe Ratio (5Y)</w:t>
            </w:r>
          </w:p>
        </w:tc>
        <w:tc>
          <w:tcPr>
            <w:tcW w:w="0" w:type="auto"/>
            <w:vAlign w:val="center"/>
            <w:hideMark/>
          </w:tcPr>
          <w:p w14:paraId="032C9798" w14:textId="77777777" w:rsidR="005034BF" w:rsidRDefault="005034BF">
            <w:r>
              <w:t>Strong</w:t>
            </w:r>
          </w:p>
        </w:tc>
        <w:tc>
          <w:tcPr>
            <w:tcW w:w="0" w:type="auto"/>
            <w:vAlign w:val="center"/>
            <w:hideMark/>
          </w:tcPr>
          <w:p w14:paraId="60C05C49" w14:textId="77777777" w:rsidR="005034BF" w:rsidRDefault="005034BF">
            <w:r>
              <w:t>Comparable</w:t>
            </w:r>
          </w:p>
        </w:tc>
        <w:tc>
          <w:tcPr>
            <w:tcW w:w="0" w:type="auto"/>
            <w:vAlign w:val="center"/>
            <w:hideMark/>
          </w:tcPr>
          <w:p w14:paraId="4EA153F5" w14:textId="77777777" w:rsidR="005034BF" w:rsidRDefault="005034BF">
            <w:r>
              <w:t>Weaker / inconsistent</w:t>
            </w:r>
          </w:p>
        </w:tc>
        <w:tc>
          <w:tcPr>
            <w:tcW w:w="0" w:type="auto"/>
            <w:vAlign w:val="center"/>
            <w:hideMark/>
          </w:tcPr>
          <w:p w14:paraId="1E1EBD04" w14:textId="77777777" w:rsidR="005034BF" w:rsidRDefault="005034BF">
            <w:r>
              <w:t>3Y most efficient risk-adjusted profile.</w:t>
            </w:r>
          </w:p>
        </w:tc>
      </w:tr>
      <w:tr w:rsidR="005034BF" w14:paraId="0C6A85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E7EC" w14:textId="77777777" w:rsidR="005034BF" w:rsidRDefault="005034BF">
            <w:r>
              <w:rPr>
                <w:rStyle w:val="Strong"/>
              </w:rPr>
              <w:t>Liability Alignment</w:t>
            </w:r>
          </w:p>
        </w:tc>
        <w:tc>
          <w:tcPr>
            <w:tcW w:w="0" w:type="auto"/>
            <w:vAlign w:val="center"/>
            <w:hideMark/>
          </w:tcPr>
          <w:p w14:paraId="770130CF" w14:textId="77777777" w:rsidR="005034BF" w:rsidRDefault="005034BF">
            <w:r>
              <w:t>High (matches)</w:t>
            </w:r>
          </w:p>
        </w:tc>
        <w:tc>
          <w:tcPr>
            <w:tcW w:w="0" w:type="auto"/>
            <w:vAlign w:val="center"/>
            <w:hideMark/>
          </w:tcPr>
          <w:p w14:paraId="03BA5A82" w14:textId="77777777" w:rsidR="005034BF" w:rsidRDefault="005034BF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1F2ED085" w14:textId="77777777" w:rsidR="005034BF" w:rsidRDefault="005034BF">
            <w:r>
              <w:t>Low (significant mismatch)</w:t>
            </w:r>
          </w:p>
        </w:tc>
        <w:tc>
          <w:tcPr>
            <w:tcW w:w="0" w:type="auto"/>
            <w:vAlign w:val="center"/>
            <w:hideMark/>
          </w:tcPr>
          <w:p w14:paraId="620246FF" w14:textId="77777777" w:rsidR="005034BF" w:rsidRDefault="005034BF">
            <w:r>
              <w:t>3Y closest to liability duration.</w:t>
            </w:r>
          </w:p>
        </w:tc>
      </w:tr>
      <w:tr w:rsidR="005034BF" w14:paraId="779C6C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9351" w14:textId="77777777" w:rsidR="005034BF" w:rsidRDefault="005034BF">
            <w:r>
              <w:rPr>
                <w:rStyle w:val="Strong"/>
              </w:rPr>
              <w:t>APRA Capital Efficiency</w:t>
            </w:r>
          </w:p>
        </w:tc>
        <w:tc>
          <w:tcPr>
            <w:tcW w:w="0" w:type="auto"/>
            <w:vAlign w:val="center"/>
            <w:hideMark/>
          </w:tcPr>
          <w:p w14:paraId="2ACC75F3" w14:textId="77777777" w:rsidR="005034BF" w:rsidRDefault="005034BF">
            <w:r>
              <w:t>Highest</w:t>
            </w:r>
          </w:p>
        </w:tc>
        <w:tc>
          <w:tcPr>
            <w:tcW w:w="0" w:type="auto"/>
            <w:vAlign w:val="center"/>
            <w:hideMark/>
          </w:tcPr>
          <w:p w14:paraId="00D5B7EF" w14:textId="77777777" w:rsidR="005034BF" w:rsidRDefault="005034BF">
            <w:r>
              <w:t>Lower</w:t>
            </w:r>
          </w:p>
        </w:tc>
        <w:tc>
          <w:tcPr>
            <w:tcW w:w="0" w:type="auto"/>
            <w:vAlign w:val="center"/>
            <w:hideMark/>
          </w:tcPr>
          <w:p w14:paraId="21FDF855" w14:textId="77777777" w:rsidR="005034BF" w:rsidRDefault="005034BF">
            <w:r>
              <w:t>Lowest</w:t>
            </w:r>
          </w:p>
        </w:tc>
        <w:tc>
          <w:tcPr>
            <w:tcW w:w="0" w:type="auto"/>
            <w:vAlign w:val="center"/>
            <w:hideMark/>
          </w:tcPr>
          <w:p w14:paraId="272CAAAD" w14:textId="77777777" w:rsidR="005034BF" w:rsidRDefault="005034BF">
            <w:r>
              <w:t>Capital charges rise non-linearly with duration.</w:t>
            </w:r>
          </w:p>
        </w:tc>
      </w:tr>
      <w:tr w:rsidR="005034BF" w14:paraId="30194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7965" w14:textId="77777777" w:rsidR="005034BF" w:rsidRDefault="005034BF">
            <w:r>
              <w:rPr>
                <w:rStyle w:val="Strong"/>
              </w:rPr>
              <w:t>Curve Scenarios</w:t>
            </w:r>
          </w:p>
        </w:tc>
        <w:tc>
          <w:tcPr>
            <w:tcW w:w="0" w:type="auto"/>
            <w:vAlign w:val="center"/>
            <w:hideMark/>
          </w:tcPr>
          <w:p w14:paraId="1153F894" w14:textId="77777777" w:rsidR="005034BF" w:rsidRDefault="005034BF">
            <w:r>
              <w:t>Most resilient</w:t>
            </w:r>
          </w:p>
        </w:tc>
        <w:tc>
          <w:tcPr>
            <w:tcW w:w="0" w:type="auto"/>
            <w:vAlign w:val="center"/>
            <w:hideMark/>
          </w:tcPr>
          <w:p w14:paraId="5D73F3EC" w14:textId="77777777" w:rsidR="005034BF" w:rsidRDefault="005034BF">
            <w:r>
              <w:t>Balanced but exposed</w:t>
            </w:r>
          </w:p>
        </w:tc>
        <w:tc>
          <w:tcPr>
            <w:tcW w:w="0" w:type="auto"/>
            <w:vAlign w:val="center"/>
            <w:hideMark/>
          </w:tcPr>
          <w:p w14:paraId="44617A61" w14:textId="77777777" w:rsidR="005034BF" w:rsidRDefault="005034BF">
            <w:r>
              <w:t>Very sensitive</w:t>
            </w:r>
          </w:p>
        </w:tc>
        <w:tc>
          <w:tcPr>
            <w:tcW w:w="0" w:type="auto"/>
            <w:vAlign w:val="center"/>
            <w:hideMark/>
          </w:tcPr>
          <w:p w14:paraId="6AA0A650" w14:textId="77777777" w:rsidR="005034BF" w:rsidRDefault="005034BF">
            <w:r>
              <w:t>7Y amplifies curve moves.</w:t>
            </w:r>
          </w:p>
        </w:tc>
      </w:tr>
      <w:tr w:rsidR="005034BF" w14:paraId="2BF02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011E" w14:textId="77777777" w:rsidR="005034BF" w:rsidRDefault="005034BF">
            <w:r>
              <w:rPr>
                <w:rStyle w:val="Strong"/>
              </w:rPr>
              <w:t>Overall Assessment</w:t>
            </w:r>
          </w:p>
        </w:tc>
        <w:tc>
          <w:tcPr>
            <w:tcW w:w="0" w:type="auto"/>
            <w:vAlign w:val="center"/>
            <w:hideMark/>
          </w:tcPr>
          <w:p w14:paraId="1E8AAD0C" w14:textId="77777777" w:rsidR="005034BF" w:rsidRDefault="005034BF">
            <w:r>
              <w:rPr>
                <w:rFonts w:ascii="Segoe UI Symbol" w:hAnsi="Segoe UI Symbol" w:cs="Segoe UI Symbol"/>
              </w:rPr>
              <w:t>✔</w:t>
            </w:r>
            <w:r>
              <w:t xml:space="preserve"> Preferred</w:t>
            </w:r>
          </w:p>
        </w:tc>
        <w:tc>
          <w:tcPr>
            <w:tcW w:w="0" w:type="auto"/>
            <w:vAlign w:val="center"/>
            <w:hideMark/>
          </w:tcPr>
          <w:p w14:paraId="491D7455" w14:textId="77777777" w:rsidR="005034BF" w:rsidRDefault="005034BF">
            <w:r>
              <w:rPr>
                <w:rFonts w:ascii="Cambria Math" w:hAnsi="Cambria Math" w:cs="Cambria Math"/>
              </w:rPr>
              <w:t>△</w:t>
            </w:r>
            <w:r>
              <w:t xml:space="preserve"> Possible</w:t>
            </w:r>
          </w:p>
        </w:tc>
        <w:tc>
          <w:tcPr>
            <w:tcW w:w="0" w:type="auto"/>
            <w:vAlign w:val="center"/>
            <w:hideMark/>
          </w:tcPr>
          <w:p w14:paraId="0A04CBF4" w14:textId="77777777" w:rsidR="005034BF" w:rsidRDefault="005034BF">
            <w:r>
              <w:rPr>
                <w:rFonts w:ascii="Segoe UI Symbol" w:hAnsi="Segoe UI Symbol" w:cs="Segoe UI Symbol"/>
              </w:rPr>
              <w:t>✘</w:t>
            </w:r>
            <w:r>
              <w:t xml:space="preserve"> Not suitable</w:t>
            </w:r>
          </w:p>
        </w:tc>
        <w:tc>
          <w:tcPr>
            <w:tcW w:w="0" w:type="auto"/>
            <w:vAlign w:val="center"/>
            <w:hideMark/>
          </w:tcPr>
          <w:p w14:paraId="751118C5" w14:textId="77777777" w:rsidR="005034BF" w:rsidRDefault="005034BF">
            <w:r>
              <w:t>3Y best fit; 5Y conditional; 7Y inappropriate.</w:t>
            </w:r>
          </w:p>
        </w:tc>
      </w:tr>
    </w:tbl>
    <w:p w14:paraId="44136334" w14:textId="7B9A51F9" w:rsidR="005034BF" w:rsidRDefault="005034BF"/>
    <w:p w14:paraId="6A47BD48" w14:textId="77777777" w:rsidR="005034BF" w:rsidRDefault="005034BF">
      <w:r>
        <w:br w:type="page"/>
      </w:r>
    </w:p>
    <w:p w14:paraId="3188BEA1" w14:textId="77777777" w:rsidR="005034BF" w:rsidRDefault="005034BF" w:rsidP="005034BF">
      <w:pPr>
        <w:pStyle w:val="Heading1"/>
      </w:pPr>
      <w:r>
        <w:rPr>
          <w:rStyle w:val="Strong"/>
          <w:b w:val="0"/>
          <w:bCs w:val="0"/>
        </w:rPr>
        <w:lastRenderedPageBreak/>
        <w:t>Executive Summary</w:t>
      </w:r>
    </w:p>
    <w:p w14:paraId="6605F383" w14:textId="77777777" w:rsidR="005034BF" w:rsidRDefault="005034BF" w:rsidP="005034BF">
      <w:pPr>
        <w:pStyle w:val="Heading2"/>
      </w:pPr>
      <w:r>
        <w:t>Purpose</w:t>
      </w:r>
    </w:p>
    <w:p w14:paraId="0D5BDE4E" w14:textId="77777777" w:rsidR="005034BF" w:rsidRDefault="005034BF" w:rsidP="005034BF">
      <w:pPr>
        <w:pStyle w:val="NormalWeb"/>
      </w:pPr>
      <w:r>
        <w:t>Macquarie Fixed Income was asked to assess the implications of extending the Shareholder Portfolio’s duration from ~3 years to 5 years and 7 years</w:t>
      </w:r>
      <w:proofErr w:type="gramStart"/>
      <w:r>
        <w:t xml:space="preserve">. </w:t>
      </w:r>
      <w:proofErr w:type="gramEnd"/>
      <w:r>
        <w:t>The client’s key objectives were to understand:</w:t>
      </w:r>
    </w:p>
    <w:p w14:paraId="186C1787" w14:textId="77777777" w:rsidR="005034BF" w:rsidRDefault="005034BF" w:rsidP="005034BF">
      <w:pPr>
        <w:pStyle w:val="NormalWeb"/>
        <w:numPr>
          <w:ilvl w:val="0"/>
          <w:numId w:val="9"/>
        </w:numPr>
      </w:pPr>
      <w:r>
        <w:t xml:space="preserve">The potential </w:t>
      </w:r>
      <w:r>
        <w:rPr>
          <w:rStyle w:val="Strong"/>
          <w:rFonts w:eastAsiaTheme="majorEastAsia"/>
        </w:rPr>
        <w:t>incremental yield and diversification benefits</w:t>
      </w:r>
      <w:r>
        <w:t xml:space="preserve"> of extending duration.</w:t>
      </w:r>
    </w:p>
    <w:p w14:paraId="05CF4A92" w14:textId="77777777" w:rsidR="005034BF" w:rsidRDefault="005034BF" w:rsidP="005034BF">
      <w:pPr>
        <w:pStyle w:val="NormalWeb"/>
        <w:numPr>
          <w:ilvl w:val="0"/>
          <w:numId w:val="9"/>
        </w:numPr>
      </w:pPr>
      <w:r>
        <w:t xml:space="preserve">The </w:t>
      </w:r>
      <w:r>
        <w:rPr>
          <w:rStyle w:val="Strong"/>
          <w:rFonts w:eastAsiaTheme="majorEastAsia"/>
        </w:rPr>
        <w:t>risks</w:t>
      </w:r>
      <w:r>
        <w:t>: higher interest rate sensitivity, spread risk, and mark-to-market volatility.</w:t>
      </w:r>
    </w:p>
    <w:p w14:paraId="7C6C832D" w14:textId="77777777" w:rsidR="005034BF" w:rsidRDefault="005034BF" w:rsidP="005034BF">
      <w:pPr>
        <w:pStyle w:val="NormalWeb"/>
        <w:numPr>
          <w:ilvl w:val="0"/>
          <w:numId w:val="9"/>
        </w:numPr>
      </w:pPr>
      <w:r>
        <w:t xml:space="preserve">Impacts on </w:t>
      </w:r>
      <w:r>
        <w:rPr>
          <w:rStyle w:val="Strong"/>
          <w:rFonts w:eastAsiaTheme="majorEastAsia"/>
        </w:rPr>
        <w:t>historical performance, forward-looking expectations, and APRA capital efficiency</w:t>
      </w:r>
      <w:r>
        <w:t>.</w:t>
      </w:r>
    </w:p>
    <w:p w14:paraId="69F141C4" w14:textId="77777777" w:rsidR="005034BF" w:rsidRDefault="005034BF" w:rsidP="005034BF">
      <w:pPr>
        <w:pStyle w:val="NormalWeb"/>
        <w:numPr>
          <w:ilvl w:val="0"/>
          <w:numId w:val="9"/>
        </w:numPr>
      </w:pPr>
      <w:r>
        <w:t xml:space="preserve">Relative portfolio exposures and sensitivities under </w:t>
      </w:r>
      <w:r>
        <w:rPr>
          <w:rStyle w:val="Strong"/>
          <w:rFonts w:eastAsiaTheme="majorEastAsia"/>
        </w:rPr>
        <w:t>yield curve steepening/flattening scenarios</w:t>
      </w:r>
      <w:r>
        <w:t>.</w:t>
      </w:r>
    </w:p>
    <w:p w14:paraId="6774F61C" w14:textId="77777777" w:rsidR="005034BF" w:rsidRDefault="005034BF" w:rsidP="005034BF">
      <w:r>
        <w:pict w14:anchorId="5E3077A3">
          <v:rect id="_x0000_i1055" style="width:0;height:1.5pt" o:hralign="center" o:hrstd="t" o:hr="t" fillcolor="#a0a0a0" stroked="f"/>
        </w:pict>
      </w:r>
    </w:p>
    <w:p w14:paraId="0D127E52" w14:textId="77777777" w:rsidR="005034BF" w:rsidRDefault="005034BF" w:rsidP="005034BF">
      <w:pPr>
        <w:pStyle w:val="Heading2"/>
      </w:pPr>
      <w:r>
        <w:t>Findings</w:t>
      </w:r>
    </w:p>
    <w:p w14:paraId="1984C3B8" w14:textId="77777777" w:rsidR="005034BF" w:rsidRDefault="005034BF" w:rsidP="005034B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3-Year Portfolio</w:t>
      </w:r>
    </w:p>
    <w:p w14:paraId="1555189A" w14:textId="77777777" w:rsidR="005034BF" w:rsidRDefault="005034BF" w:rsidP="005034BF">
      <w:pPr>
        <w:pStyle w:val="NormalWeb"/>
        <w:numPr>
          <w:ilvl w:val="1"/>
          <w:numId w:val="10"/>
        </w:numPr>
      </w:pPr>
      <w:r>
        <w:t>Closely aligned with liability duration.</w:t>
      </w:r>
    </w:p>
    <w:p w14:paraId="7C9D8C9B" w14:textId="77777777" w:rsidR="005034BF" w:rsidRDefault="005034BF" w:rsidP="005034BF">
      <w:pPr>
        <w:pStyle w:val="NormalWeb"/>
        <w:numPr>
          <w:ilvl w:val="1"/>
          <w:numId w:val="10"/>
        </w:numPr>
      </w:pPr>
      <w:r>
        <w:t>Delivered stable returns with the lowest volatility and strongest risk-adjusted outcomes over the past 5 years.</w:t>
      </w:r>
    </w:p>
    <w:p w14:paraId="43280D25" w14:textId="77777777" w:rsidR="005034BF" w:rsidRDefault="005034BF" w:rsidP="005034BF">
      <w:pPr>
        <w:pStyle w:val="NormalWeb"/>
        <w:numPr>
          <w:ilvl w:val="1"/>
          <w:numId w:val="10"/>
        </w:numPr>
      </w:pPr>
      <w:r>
        <w:t xml:space="preserve">Expected to remain the most </w:t>
      </w:r>
      <w:r>
        <w:rPr>
          <w:rStyle w:val="Strong"/>
          <w:rFonts w:eastAsiaTheme="majorEastAsia"/>
        </w:rPr>
        <w:t>capital-efficient</w:t>
      </w:r>
      <w:r>
        <w:t xml:space="preserve"> strategy.</w:t>
      </w:r>
    </w:p>
    <w:p w14:paraId="728D2193" w14:textId="77777777" w:rsidR="005034BF" w:rsidRDefault="005034BF" w:rsidP="005034B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5-Year Portfolio</w:t>
      </w:r>
    </w:p>
    <w:p w14:paraId="2B4DFC24" w14:textId="77777777" w:rsidR="005034BF" w:rsidRDefault="005034BF" w:rsidP="005034BF">
      <w:pPr>
        <w:pStyle w:val="NormalWeb"/>
        <w:numPr>
          <w:ilvl w:val="1"/>
          <w:numId w:val="10"/>
        </w:numPr>
      </w:pPr>
      <w:r>
        <w:t>Provides a modest yield pickup and some potential diversification relative to growth assets.</w:t>
      </w:r>
    </w:p>
    <w:p w14:paraId="69CEAEBE" w14:textId="77777777" w:rsidR="005034BF" w:rsidRDefault="005034BF" w:rsidP="005034BF">
      <w:pPr>
        <w:pStyle w:val="NormalWeb"/>
        <w:numPr>
          <w:ilvl w:val="1"/>
          <w:numId w:val="10"/>
        </w:numPr>
      </w:pPr>
      <w:r>
        <w:t xml:space="preserve">Volatility and DV01 rise meaningfully; Sharpe ratio is broadly </w:t>
      </w:r>
      <w:proofErr w:type="gramStart"/>
      <w:r>
        <w:t>similar to</w:t>
      </w:r>
      <w:proofErr w:type="gramEnd"/>
      <w:r>
        <w:t xml:space="preserve"> the 3Y portfolio.</w:t>
      </w:r>
    </w:p>
    <w:p w14:paraId="39129BAC" w14:textId="77777777" w:rsidR="005034BF" w:rsidRDefault="005034BF" w:rsidP="005034BF">
      <w:pPr>
        <w:pStyle w:val="NormalWeb"/>
        <w:numPr>
          <w:ilvl w:val="1"/>
          <w:numId w:val="10"/>
        </w:numPr>
      </w:pPr>
      <w:r>
        <w:t>Capital efficiency is reduced; diversification benefit is uncertain.</w:t>
      </w:r>
    </w:p>
    <w:p w14:paraId="19EAD780" w14:textId="77777777" w:rsidR="005034BF" w:rsidRDefault="005034BF" w:rsidP="005034BF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7-Year Portfolio</w:t>
      </w:r>
    </w:p>
    <w:p w14:paraId="6159FDF3" w14:textId="77777777" w:rsidR="005034BF" w:rsidRDefault="005034BF" w:rsidP="005034BF">
      <w:pPr>
        <w:pStyle w:val="NormalWeb"/>
        <w:numPr>
          <w:ilvl w:val="1"/>
          <w:numId w:val="10"/>
        </w:numPr>
      </w:pPr>
      <w:r>
        <w:t>Offers the highest yield but with materially higher volatility and rate sensitivity (DV01 ~2x 3Y).</w:t>
      </w:r>
    </w:p>
    <w:p w14:paraId="547032CF" w14:textId="77777777" w:rsidR="005034BF" w:rsidRDefault="005034BF" w:rsidP="005034BF">
      <w:pPr>
        <w:pStyle w:val="NormalWeb"/>
        <w:numPr>
          <w:ilvl w:val="1"/>
          <w:numId w:val="10"/>
        </w:numPr>
      </w:pPr>
      <w:r>
        <w:t>Significant mismatch to liability duration.</w:t>
      </w:r>
    </w:p>
    <w:p w14:paraId="6F5A1FBD" w14:textId="77777777" w:rsidR="005034BF" w:rsidRDefault="005034BF" w:rsidP="005034BF">
      <w:pPr>
        <w:pStyle w:val="NormalWeb"/>
        <w:numPr>
          <w:ilvl w:val="1"/>
          <w:numId w:val="10"/>
        </w:numPr>
      </w:pPr>
      <w:r>
        <w:t xml:space="preserve">Likely to </w:t>
      </w:r>
      <w:r>
        <w:rPr>
          <w:rStyle w:val="Strong"/>
          <w:rFonts w:eastAsiaTheme="majorEastAsia"/>
        </w:rPr>
        <w:t>reduce capital efficiency</w:t>
      </w:r>
      <w:r>
        <w:t xml:space="preserve"> materially under APRA; not appropriate for shareholder funds.</w:t>
      </w:r>
    </w:p>
    <w:p w14:paraId="6F808F1E" w14:textId="77777777" w:rsidR="005034BF" w:rsidRDefault="005034BF" w:rsidP="005034BF">
      <w:r>
        <w:pict w14:anchorId="046A98D6">
          <v:rect id="_x0000_i1056" style="width:0;height:1.5pt" o:hralign="center" o:hrstd="t" o:hr="t" fillcolor="#a0a0a0" stroked="f"/>
        </w:pict>
      </w:r>
    </w:p>
    <w:p w14:paraId="31FF5CAC" w14:textId="77777777" w:rsidR="005034BF" w:rsidRDefault="005034BF" w:rsidP="005034BF">
      <w:pPr>
        <w:pStyle w:val="Heading2"/>
      </w:pPr>
      <w:r>
        <w:t>Comparative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963"/>
        <w:gridCol w:w="1462"/>
        <w:gridCol w:w="1920"/>
        <w:gridCol w:w="1825"/>
        <w:gridCol w:w="1457"/>
      </w:tblGrid>
      <w:tr w:rsidR="005034BF" w14:paraId="1EAC1F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93062E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Portfolio</w:t>
            </w:r>
          </w:p>
        </w:tc>
        <w:tc>
          <w:tcPr>
            <w:tcW w:w="0" w:type="auto"/>
            <w:vAlign w:val="center"/>
            <w:hideMark/>
          </w:tcPr>
          <w:p w14:paraId="1F60E86E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63C19601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Risk/Volatility</w:t>
            </w:r>
          </w:p>
        </w:tc>
        <w:tc>
          <w:tcPr>
            <w:tcW w:w="0" w:type="auto"/>
            <w:vAlign w:val="center"/>
            <w:hideMark/>
          </w:tcPr>
          <w:p w14:paraId="14A4A099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Liability Alignment</w:t>
            </w:r>
          </w:p>
        </w:tc>
        <w:tc>
          <w:tcPr>
            <w:tcW w:w="0" w:type="auto"/>
            <w:vAlign w:val="center"/>
            <w:hideMark/>
          </w:tcPr>
          <w:p w14:paraId="0AB1C735" w14:textId="77777777" w:rsidR="005034BF" w:rsidRDefault="00503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Capital Efficiency</w:t>
            </w:r>
          </w:p>
        </w:tc>
        <w:tc>
          <w:tcPr>
            <w:tcW w:w="0" w:type="auto"/>
            <w:vAlign w:val="center"/>
            <w:hideMark/>
          </w:tcPr>
          <w:p w14:paraId="6133E384" w14:textId="77777777" w:rsidR="005034BF" w:rsidRDefault="005034BF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Overall</w:t>
            </w:r>
            <w:proofErr w:type="gramEnd"/>
            <w:r>
              <w:rPr>
                <w:b/>
                <w:bCs/>
              </w:rPr>
              <w:t xml:space="preserve"> View</w:t>
            </w:r>
          </w:p>
        </w:tc>
      </w:tr>
      <w:tr w:rsidR="005034BF" w14:paraId="5BD6F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6985" w14:textId="77777777" w:rsidR="005034BF" w:rsidRDefault="005034BF">
            <w:r>
              <w:rPr>
                <w:rStyle w:val="Strong"/>
              </w:rPr>
              <w:t>3-Year</w:t>
            </w:r>
          </w:p>
        </w:tc>
        <w:tc>
          <w:tcPr>
            <w:tcW w:w="0" w:type="auto"/>
            <w:vAlign w:val="center"/>
            <w:hideMark/>
          </w:tcPr>
          <w:p w14:paraId="1104F134" w14:textId="77777777" w:rsidR="005034BF" w:rsidRDefault="005034BF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05A62239" w14:textId="77777777" w:rsidR="005034BF" w:rsidRDefault="005034BF">
            <w:r>
              <w:t>Lowest</w:t>
            </w:r>
          </w:p>
        </w:tc>
        <w:tc>
          <w:tcPr>
            <w:tcW w:w="0" w:type="auto"/>
            <w:vAlign w:val="center"/>
            <w:hideMark/>
          </w:tcPr>
          <w:p w14:paraId="517B9F60" w14:textId="77777777" w:rsidR="005034BF" w:rsidRDefault="005034BF">
            <w:r>
              <w:t>Strong</w:t>
            </w:r>
          </w:p>
        </w:tc>
        <w:tc>
          <w:tcPr>
            <w:tcW w:w="0" w:type="auto"/>
            <w:vAlign w:val="center"/>
            <w:hideMark/>
          </w:tcPr>
          <w:p w14:paraId="0E9E0856" w14:textId="77777777" w:rsidR="005034BF" w:rsidRDefault="005034BF">
            <w:r>
              <w:t>Highest</w:t>
            </w:r>
          </w:p>
        </w:tc>
        <w:tc>
          <w:tcPr>
            <w:tcW w:w="0" w:type="auto"/>
            <w:vAlign w:val="center"/>
            <w:hideMark/>
          </w:tcPr>
          <w:p w14:paraId="5FB27247" w14:textId="77777777" w:rsidR="005034BF" w:rsidRDefault="005034BF">
            <w:r>
              <w:rPr>
                <w:rFonts w:ascii="Segoe UI Symbol" w:hAnsi="Segoe UI Symbol" w:cs="Segoe UI Symbol"/>
              </w:rPr>
              <w:t>✔</w:t>
            </w:r>
            <w:r>
              <w:t xml:space="preserve"> Preferred</w:t>
            </w:r>
          </w:p>
        </w:tc>
      </w:tr>
      <w:tr w:rsidR="005034BF" w14:paraId="41F59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7397E" w14:textId="77777777" w:rsidR="005034BF" w:rsidRDefault="005034BF">
            <w:r>
              <w:rPr>
                <w:rStyle w:val="Strong"/>
              </w:rPr>
              <w:t>5-Year</w:t>
            </w:r>
          </w:p>
        </w:tc>
        <w:tc>
          <w:tcPr>
            <w:tcW w:w="0" w:type="auto"/>
            <w:vAlign w:val="center"/>
            <w:hideMark/>
          </w:tcPr>
          <w:p w14:paraId="15D5738A" w14:textId="77777777" w:rsidR="005034BF" w:rsidRDefault="005034BF">
            <w:r>
              <w:t>Higher</w:t>
            </w:r>
          </w:p>
        </w:tc>
        <w:tc>
          <w:tcPr>
            <w:tcW w:w="0" w:type="auto"/>
            <w:vAlign w:val="center"/>
            <w:hideMark/>
          </w:tcPr>
          <w:p w14:paraId="38BE23AA" w14:textId="77777777" w:rsidR="005034BF" w:rsidRDefault="005034BF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14:paraId="716B02E0" w14:textId="77777777" w:rsidR="005034BF" w:rsidRDefault="005034BF">
            <w:r>
              <w:t>Partial</w:t>
            </w:r>
          </w:p>
        </w:tc>
        <w:tc>
          <w:tcPr>
            <w:tcW w:w="0" w:type="auto"/>
            <w:vAlign w:val="center"/>
            <w:hideMark/>
          </w:tcPr>
          <w:p w14:paraId="315A4E93" w14:textId="77777777" w:rsidR="005034BF" w:rsidRDefault="005034BF">
            <w:r>
              <w:t>Lower</w:t>
            </w:r>
          </w:p>
        </w:tc>
        <w:tc>
          <w:tcPr>
            <w:tcW w:w="0" w:type="auto"/>
            <w:vAlign w:val="center"/>
            <w:hideMark/>
          </w:tcPr>
          <w:p w14:paraId="70853956" w14:textId="77777777" w:rsidR="005034BF" w:rsidRDefault="005034BF">
            <w:r>
              <w:rPr>
                <w:rFonts w:ascii="Cambria Math" w:hAnsi="Cambria Math" w:cs="Cambria Math"/>
              </w:rPr>
              <w:t>△</w:t>
            </w:r>
            <w:r>
              <w:t xml:space="preserve"> Possible</w:t>
            </w:r>
          </w:p>
        </w:tc>
      </w:tr>
      <w:tr w:rsidR="005034BF" w14:paraId="72C1E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47A5" w14:textId="77777777" w:rsidR="005034BF" w:rsidRDefault="005034BF">
            <w:r>
              <w:rPr>
                <w:rStyle w:val="Strong"/>
              </w:rPr>
              <w:t>7-Year</w:t>
            </w:r>
          </w:p>
        </w:tc>
        <w:tc>
          <w:tcPr>
            <w:tcW w:w="0" w:type="auto"/>
            <w:vAlign w:val="center"/>
            <w:hideMark/>
          </w:tcPr>
          <w:p w14:paraId="6868453A" w14:textId="77777777" w:rsidR="005034BF" w:rsidRDefault="005034BF">
            <w:r>
              <w:t>Highest</w:t>
            </w:r>
          </w:p>
        </w:tc>
        <w:tc>
          <w:tcPr>
            <w:tcW w:w="0" w:type="auto"/>
            <w:vAlign w:val="center"/>
            <w:hideMark/>
          </w:tcPr>
          <w:p w14:paraId="0334BC6F" w14:textId="77777777" w:rsidR="005034BF" w:rsidRDefault="005034BF">
            <w:r>
              <w:t>Highest</w:t>
            </w:r>
          </w:p>
        </w:tc>
        <w:tc>
          <w:tcPr>
            <w:tcW w:w="0" w:type="auto"/>
            <w:vAlign w:val="center"/>
            <w:hideMark/>
          </w:tcPr>
          <w:p w14:paraId="192D9331" w14:textId="77777777" w:rsidR="005034BF" w:rsidRDefault="005034BF">
            <w:r>
              <w:t>Weak</w:t>
            </w:r>
          </w:p>
        </w:tc>
        <w:tc>
          <w:tcPr>
            <w:tcW w:w="0" w:type="auto"/>
            <w:vAlign w:val="center"/>
            <w:hideMark/>
          </w:tcPr>
          <w:p w14:paraId="0474805F" w14:textId="77777777" w:rsidR="005034BF" w:rsidRDefault="005034BF">
            <w:r>
              <w:t>Lowest</w:t>
            </w:r>
          </w:p>
        </w:tc>
        <w:tc>
          <w:tcPr>
            <w:tcW w:w="0" w:type="auto"/>
            <w:vAlign w:val="center"/>
            <w:hideMark/>
          </w:tcPr>
          <w:p w14:paraId="046D5E29" w14:textId="77777777" w:rsidR="005034BF" w:rsidRDefault="005034BF">
            <w:r>
              <w:rPr>
                <w:rFonts w:ascii="Segoe UI Symbol" w:hAnsi="Segoe UI Symbol" w:cs="Segoe UI Symbol"/>
              </w:rPr>
              <w:t>✘</w:t>
            </w:r>
            <w:r>
              <w:t xml:space="preserve"> Not suitable</w:t>
            </w:r>
          </w:p>
        </w:tc>
      </w:tr>
    </w:tbl>
    <w:p w14:paraId="14BBD18B" w14:textId="77777777" w:rsidR="005034BF" w:rsidRDefault="005034BF" w:rsidP="005034BF">
      <w:r>
        <w:pict w14:anchorId="0875FD72">
          <v:rect id="_x0000_i1057" style="width:0;height:1.5pt" o:hralign="center" o:hrstd="t" o:hr="t" fillcolor="#a0a0a0" stroked="f"/>
        </w:pict>
      </w:r>
    </w:p>
    <w:p w14:paraId="0462835D" w14:textId="77777777" w:rsidR="005034BF" w:rsidRDefault="005034BF" w:rsidP="005034BF">
      <w:pPr>
        <w:pStyle w:val="Heading2"/>
      </w:pPr>
      <w:r>
        <w:lastRenderedPageBreak/>
        <w:t>Recommendation</w:t>
      </w:r>
    </w:p>
    <w:p w14:paraId="52562D4C" w14:textId="77777777" w:rsidR="005034BF" w:rsidRDefault="005034BF" w:rsidP="005034BF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Maintain the 3-year portfolio</w:t>
      </w:r>
      <w:r>
        <w:t xml:space="preserve"> as the most appropriate strategy given its alignment with liabilities, capital efficiency, and strong risk-adjusted performance.</w:t>
      </w:r>
    </w:p>
    <w:p w14:paraId="4F14A462" w14:textId="77777777" w:rsidR="005034BF" w:rsidRDefault="005034BF" w:rsidP="005034BF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  <w:rFonts w:eastAsiaTheme="majorEastAsia"/>
        </w:rPr>
        <w:t>5-year portfolio</w:t>
      </w:r>
      <w:r>
        <w:t xml:space="preserve"> may be considered as a secondary option if further analysis confirms diversification benefits against growth assets.</w:t>
      </w:r>
    </w:p>
    <w:p w14:paraId="65F33365" w14:textId="77777777" w:rsidR="005034BF" w:rsidRDefault="005034BF" w:rsidP="005034BF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  <w:rFonts w:eastAsiaTheme="majorEastAsia"/>
        </w:rPr>
        <w:t>7-year portfolio</w:t>
      </w:r>
      <w:r>
        <w:t xml:space="preserve"> should not be pursued, given the liability mismatch and adverse capital implications.</w:t>
      </w:r>
    </w:p>
    <w:p w14:paraId="3E0783D5" w14:textId="77777777" w:rsidR="005034BF" w:rsidRDefault="005034BF" w:rsidP="005034BF">
      <w:pPr>
        <w:pStyle w:val="NormalWeb"/>
        <w:numPr>
          <w:ilvl w:val="0"/>
          <w:numId w:val="11"/>
        </w:numPr>
      </w:pPr>
      <w:r>
        <w:t>Further work: liability-sensitive capital modelling is recommended to quantify APRA impacts with greater precision.</w:t>
      </w:r>
    </w:p>
    <w:p w14:paraId="40E71195" w14:textId="2B9E4439" w:rsidR="005034BF" w:rsidRDefault="005034BF">
      <w:r>
        <w:br w:type="page"/>
      </w:r>
    </w:p>
    <w:p w14:paraId="7B9C6CC2" w14:textId="77777777" w:rsidR="005034BF" w:rsidRDefault="005034BF" w:rsidP="005034BF">
      <w:pPr>
        <w:pStyle w:val="Heading1"/>
      </w:pPr>
      <w:r>
        <w:rPr>
          <w:rStyle w:val="Strong"/>
          <w:b w:val="0"/>
          <w:bCs w:val="0"/>
        </w:rPr>
        <w:lastRenderedPageBreak/>
        <w:t>Proposed Report Layout</w:t>
      </w:r>
    </w:p>
    <w:p w14:paraId="3B0536A1" w14:textId="77777777" w:rsidR="005034BF" w:rsidRDefault="005034BF" w:rsidP="005034BF">
      <w:r>
        <w:pict w14:anchorId="4C500AD7">
          <v:rect id="_x0000_i1061" style="width:0;height:1.5pt" o:hralign="center" o:hrstd="t" o:hr="t" fillcolor="#a0a0a0" stroked="f"/>
        </w:pict>
      </w:r>
    </w:p>
    <w:p w14:paraId="520D848C" w14:textId="77777777" w:rsidR="005034BF" w:rsidRDefault="005034BF" w:rsidP="005034BF">
      <w:pPr>
        <w:pStyle w:val="Heading2"/>
      </w:pPr>
      <w:r>
        <w:rPr>
          <w:rStyle w:val="Strong"/>
          <w:b w:val="0"/>
          <w:bCs w:val="0"/>
        </w:rPr>
        <w:t>Front Section</w:t>
      </w:r>
    </w:p>
    <w:p w14:paraId="6BA2C254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Cover Page</w:t>
      </w:r>
    </w:p>
    <w:p w14:paraId="5E05F7B1" w14:textId="77777777" w:rsidR="005034BF" w:rsidRDefault="005034BF" w:rsidP="005034BF">
      <w:pPr>
        <w:pStyle w:val="NormalWeb"/>
        <w:numPr>
          <w:ilvl w:val="0"/>
          <w:numId w:val="12"/>
        </w:numPr>
      </w:pPr>
      <w:r>
        <w:t xml:space="preserve">Title: </w:t>
      </w:r>
      <w:r>
        <w:rPr>
          <w:rStyle w:val="Emphasis"/>
          <w:rFonts w:eastAsiaTheme="majorEastAsia"/>
        </w:rPr>
        <w:t>Duration Extension Analysis of the Shareholder Portfolio</w:t>
      </w:r>
    </w:p>
    <w:p w14:paraId="25FC1FCA" w14:textId="77777777" w:rsidR="005034BF" w:rsidRDefault="005034BF" w:rsidP="005034BF">
      <w:pPr>
        <w:pStyle w:val="NormalWeb"/>
        <w:numPr>
          <w:ilvl w:val="0"/>
          <w:numId w:val="12"/>
        </w:numPr>
      </w:pPr>
      <w:r>
        <w:t>Prepared for: [Client name]</w:t>
      </w:r>
    </w:p>
    <w:p w14:paraId="545C3DBB" w14:textId="77777777" w:rsidR="005034BF" w:rsidRDefault="005034BF" w:rsidP="005034BF">
      <w:pPr>
        <w:pStyle w:val="NormalWeb"/>
        <w:numPr>
          <w:ilvl w:val="0"/>
          <w:numId w:val="12"/>
        </w:numPr>
      </w:pPr>
      <w:r>
        <w:t>Prepared by: Macquarie Fixed Income</w:t>
      </w:r>
    </w:p>
    <w:p w14:paraId="71B9155C" w14:textId="77777777" w:rsidR="005034BF" w:rsidRDefault="005034BF" w:rsidP="005034BF">
      <w:pPr>
        <w:pStyle w:val="NormalWeb"/>
        <w:numPr>
          <w:ilvl w:val="0"/>
          <w:numId w:val="12"/>
        </w:numPr>
      </w:pPr>
      <w:r>
        <w:t>Date</w:t>
      </w:r>
    </w:p>
    <w:p w14:paraId="64754FDF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Executive Summary (1 page)</w:t>
      </w:r>
    </w:p>
    <w:p w14:paraId="03861C1F" w14:textId="77777777" w:rsidR="005034BF" w:rsidRDefault="005034BF" w:rsidP="005034BF">
      <w:pPr>
        <w:pStyle w:val="NormalWeb"/>
        <w:numPr>
          <w:ilvl w:val="0"/>
          <w:numId w:val="13"/>
        </w:numPr>
      </w:pPr>
      <w:r>
        <w:t>Purpose and scope</w:t>
      </w:r>
    </w:p>
    <w:p w14:paraId="4AF17946" w14:textId="77777777" w:rsidR="005034BF" w:rsidRDefault="005034BF" w:rsidP="005034BF">
      <w:pPr>
        <w:pStyle w:val="NormalWeb"/>
        <w:numPr>
          <w:ilvl w:val="0"/>
          <w:numId w:val="13"/>
        </w:numPr>
      </w:pPr>
      <w:r>
        <w:t>Headline findings (bullets)</w:t>
      </w:r>
    </w:p>
    <w:p w14:paraId="2CC64C1F" w14:textId="77777777" w:rsidR="005034BF" w:rsidRDefault="005034BF" w:rsidP="005034BF">
      <w:pPr>
        <w:pStyle w:val="NormalWeb"/>
        <w:numPr>
          <w:ilvl w:val="0"/>
          <w:numId w:val="13"/>
        </w:numPr>
      </w:pPr>
      <w:r>
        <w:t>Summary table (3Y vs 5Y vs 7Y comparison)</w:t>
      </w:r>
    </w:p>
    <w:p w14:paraId="4E6304FF" w14:textId="77777777" w:rsidR="005034BF" w:rsidRDefault="005034BF" w:rsidP="005034BF">
      <w:pPr>
        <w:pStyle w:val="NormalWeb"/>
        <w:numPr>
          <w:ilvl w:val="0"/>
          <w:numId w:val="13"/>
        </w:numPr>
      </w:pPr>
      <w:r>
        <w:t>Recommendation</w:t>
      </w:r>
    </w:p>
    <w:p w14:paraId="47C38C45" w14:textId="77777777" w:rsidR="005034BF" w:rsidRDefault="005034BF" w:rsidP="005034BF">
      <w:r>
        <w:pict w14:anchorId="35BCC3D5">
          <v:rect id="_x0000_i1062" style="width:0;height:1.5pt" o:hralign="center" o:hrstd="t" o:hr="t" fillcolor="#a0a0a0" stroked="f"/>
        </w:pict>
      </w:r>
    </w:p>
    <w:p w14:paraId="33E9008B" w14:textId="77777777" w:rsidR="005034BF" w:rsidRDefault="005034BF" w:rsidP="005034BF">
      <w:pPr>
        <w:pStyle w:val="Heading2"/>
      </w:pPr>
      <w:r>
        <w:rPr>
          <w:rStyle w:val="Strong"/>
          <w:b w:val="0"/>
          <w:bCs w:val="0"/>
        </w:rPr>
        <w:t>Main Report</w:t>
      </w:r>
    </w:p>
    <w:p w14:paraId="0CC6A74C" w14:textId="77777777" w:rsidR="005034BF" w:rsidRDefault="005034BF" w:rsidP="005034BF">
      <w:pPr>
        <w:pStyle w:val="Heading3"/>
      </w:pPr>
      <w:r>
        <w:rPr>
          <w:rStyle w:val="Strong"/>
          <w:b w:val="0"/>
          <w:bCs w:val="0"/>
        </w:rPr>
        <w:t>1. Overview (1 page)</w:t>
      </w:r>
    </w:p>
    <w:p w14:paraId="3C0CB712" w14:textId="77777777" w:rsidR="005034BF" w:rsidRDefault="005034BF" w:rsidP="005034BF">
      <w:pPr>
        <w:pStyle w:val="NormalWeb"/>
        <w:numPr>
          <w:ilvl w:val="0"/>
          <w:numId w:val="14"/>
        </w:numPr>
      </w:pPr>
      <w:r>
        <w:t>Restate client brief.</w:t>
      </w:r>
    </w:p>
    <w:p w14:paraId="4ED80AAD" w14:textId="77777777" w:rsidR="005034BF" w:rsidRDefault="005034BF" w:rsidP="005034BF">
      <w:pPr>
        <w:pStyle w:val="NormalWeb"/>
        <w:numPr>
          <w:ilvl w:val="0"/>
          <w:numId w:val="14"/>
        </w:numPr>
      </w:pPr>
      <w:r>
        <w:t>Scope of analysis (historical, forward-looking, risk/return metrics, capital).</w:t>
      </w:r>
    </w:p>
    <w:p w14:paraId="511E6038" w14:textId="77777777" w:rsidR="005034BF" w:rsidRDefault="005034BF" w:rsidP="005034BF">
      <w:pPr>
        <w:pStyle w:val="NormalWeb"/>
        <w:numPr>
          <w:ilvl w:val="0"/>
          <w:numId w:val="14"/>
        </w:numPr>
      </w:pPr>
      <w:r>
        <w:t>Approach (summary of methodology, Excel pack reference).</w:t>
      </w:r>
    </w:p>
    <w:p w14:paraId="155E283A" w14:textId="77777777" w:rsidR="005034BF" w:rsidRDefault="005034BF" w:rsidP="005034BF">
      <w:r>
        <w:pict w14:anchorId="25B1812C">
          <v:rect id="_x0000_i1063" style="width:0;height:1.5pt" o:hralign="center" o:hrstd="t" o:hr="t" fillcolor="#a0a0a0" stroked="f"/>
        </w:pict>
      </w:r>
    </w:p>
    <w:p w14:paraId="5839F16A" w14:textId="77777777" w:rsidR="005034BF" w:rsidRDefault="005034BF" w:rsidP="005034BF">
      <w:pPr>
        <w:pStyle w:val="Heading3"/>
      </w:pPr>
      <w:r>
        <w:rPr>
          <w:rStyle w:val="Strong"/>
          <w:b w:val="0"/>
          <w:bCs w:val="0"/>
        </w:rPr>
        <w:t>2. Current 3-Year Portfolio (2 pages)</w:t>
      </w:r>
    </w:p>
    <w:p w14:paraId="41EF6020" w14:textId="77777777" w:rsidR="005034BF" w:rsidRDefault="005034BF" w:rsidP="005034BF">
      <w:pPr>
        <w:pStyle w:val="NormalWeb"/>
        <w:numPr>
          <w:ilvl w:val="0"/>
          <w:numId w:val="15"/>
        </w:numPr>
      </w:pPr>
      <w:r>
        <w:t>Narrative overview (profile, performance, expectations).</w:t>
      </w:r>
    </w:p>
    <w:p w14:paraId="174785B1" w14:textId="77777777" w:rsidR="005034BF" w:rsidRDefault="005034BF" w:rsidP="005034B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Key Metrics Table (Table 1)</w:t>
      </w:r>
      <w:r>
        <w:t>.</w:t>
      </w:r>
    </w:p>
    <w:p w14:paraId="2DE09784" w14:textId="77777777" w:rsidR="005034BF" w:rsidRDefault="005034BF" w:rsidP="005034BF">
      <w:pPr>
        <w:pStyle w:val="NormalWeb"/>
        <w:numPr>
          <w:ilvl w:val="0"/>
          <w:numId w:val="15"/>
        </w:numPr>
      </w:pPr>
      <w:r>
        <w:t>Supporting chart(s): yield vs duration profile, historical returns.</w:t>
      </w:r>
    </w:p>
    <w:p w14:paraId="1C216FFB" w14:textId="77777777" w:rsidR="005034BF" w:rsidRDefault="005034BF" w:rsidP="005034BF">
      <w:r>
        <w:pict w14:anchorId="25B530B4">
          <v:rect id="_x0000_i1064" style="width:0;height:1.5pt" o:hralign="center" o:hrstd="t" o:hr="t" fillcolor="#a0a0a0" stroked="f"/>
        </w:pict>
      </w:r>
    </w:p>
    <w:p w14:paraId="49D1BF88" w14:textId="77777777" w:rsidR="005034BF" w:rsidRDefault="005034BF" w:rsidP="005034BF">
      <w:pPr>
        <w:pStyle w:val="Heading3"/>
      </w:pPr>
      <w:r>
        <w:rPr>
          <w:rStyle w:val="Strong"/>
          <w:b w:val="0"/>
          <w:bCs w:val="0"/>
        </w:rPr>
        <w:t>3. 5-Year Portfolio (2 pages)</w:t>
      </w:r>
    </w:p>
    <w:p w14:paraId="0EADABF6" w14:textId="77777777" w:rsidR="005034BF" w:rsidRDefault="005034BF" w:rsidP="005034BF">
      <w:pPr>
        <w:pStyle w:val="NormalWeb"/>
        <w:numPr>
          <w:ilvl w:val="0"/>
          <w:numId w:val="16"/>
        </w:numPr>
      </w:pPr>
      <w:r>
        <w:t>Narrative overview (incremental yield, risk trade-offs).</w:t>
      </w:r>
    </w:p>
    <w:p w14:paraId="37AAB0E5" w14:textId="77777777" w:rsidR="005034BF" w:rsidRDefault="005034BF" w:rsidP="005034B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Key Metrics Table (Table 2)</w:t>
      </w:r>
      <w:r>
        <w:t>.</w:t>
      </w:r>
    </w:p>
    <w:p w14:paraId="2A510155" w14:textId="77777777" w:rsidR="005034BF" w:rsidRDefault="005034BF" w:rsidP="005034BF">
      <w:pPr>
        <w:pStyle w:val="NormalWeb"/>
        <w:numPr>
          <w:ilvl w:val="0"/>
          <w:numId w:val="16"/>
        </w:numPr>
      </w:pPr>
      <w:r>
        <w:t>Supporting chart(s): historical volatility vs 3Y, scenario sensitivity.</w:t>
      </w:r>
    </w:p>
    <w:p w14:paraId="00ACDFF1" w14:textId="77777777" w:rsidR="005034BF" w:rsidRDefault="005034BF" w:rsidP="005034BF">
      <w:r>
        <w:pict w14:anchorId="331A3A50">
          <v:rect id="_x0000_i1065" style="width:0;height:1.5pt" o:hralign="center" o:hrstd="t" o:hr="t" fillcolor="#a0a0a0" stroked="f"/>
        </w:pict>
      </w:r>
    </w:p>
    <w:p w14:paraId="0317CDA9" w14:textId="77777777" w:rsidR="005034BF" w:rsidRDefault="005034BF" w:rsidP="005034BF">
      <w:pPr>
        <w:pStyle w:val="Heading3"/>
      </w:pPr>
      <w:r>
        <w:rPr>
          <w:rStyle w:val="Strong"/>
          <w:b w:val="0"/>
          <w:bCs w:val="0"/>
        </w:rPr>
        <w:lastRenderedPageBreak/>
        <w:t>4. 7-Year Portfolio (2 pages)</w:t>
      </w:r>
    </w:p>
    <w:p w14:paraId="43398D35" w14:textId="77777777" w:rsidR="005034BF" w:rsidRDefault="005034BF" w:rsidP="005034BF">
      <w:pPr>
        <w:pStyle w:val="NormalWeb"/>
        <w:numPr>
          <w:ilvl w:val="0"/>
          <w:numId w:val="17"/>
        </w:numPr>
      </w:pPr>
      <w:r>
        <w:t>Narrative overview (higher risk, liability mismatch).</w:t>
      </w:r>
    </w:p>
    <w:p w14:paraId="11EB142A" w14:textId="77777777" w:rsidR="005034BF" w:rsidRDefault="005034BF" w:rsidP="005034BF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Key Metrics Table (Table 3)</w:t>
      </w:r>
      <w:r>
        <w:t>.</w:t>
      </w:r>
    </w:p>
    <w:p w14:paraId="02715BB0" w14:textId="77777777" w:rsidR="005034BF" w:rsidRDefault="005034BF" w:rsidP="005034BF">
      <w:pPr>
        <w:pStyle w:val="NormalWeb"/>
        <w:numPr>
          <w:ilvl w:val="0"/>
          <w:numId w:val="17"/>
        </w:numPr>
      </w:pPr>
      <w:r>
        <w:t>Supporting chart(s): convexity effects, drawdown illustration.</w:t>
      </w:r>
    </w:p>
    <w:p w14:paraId="51D72CE7" w14:textId="77777777" w:rsidR="005034BF" w:rsidRDefault="005034BF" w:rsidP="005034BF">
      <w:r>
        <w:pict w14:anchorId="103BEF80">
          <v:rect id="_x0000_i1066" style="width:0;height:1.5pt" o:hralign="center" o:hrstd="t" o:hr="t" fillcolor="#a0a0a0" stroked="f"/>
        </w:pict>
      </w:r>
    </w:p>
    <w:p w14:paraId="46E27C14" w14:textId="77777777" w:rsidR="005034BF" w:rsidRDefault="005034BF" w:rsidP="005034BF">
      <w:pPr>
        <w:pStyle w:val="Heading3"/>
      </w:pPr>
      <w:r>
        <w:rPr>
          <w:rStyle w:val="Strong"/>
          <w:b w:val="0"/>
          <w:bCs w:val="0"/>
        </w:rPr>
        <w:t>5. Discussion (2–3 pages)</w:t>
      </w:r>
    </w:p>
    <w:p w14:paraId="79BED3CB" w14:textId="77777777" w:rsidR="005034BF" w:rsidRDefault="005034BF" w:rsidP="005034BF">
      <w:pPr>
        <w:pStyle w:val="NormalWeb"/>
        <w:numPr>
          <w:ilvl w:val="0"/>
          <w:numId w:val="18"/>
        </w:numPr>
      </w:pPr>
      <w:r>
        <w:t>Cross-comparison of portfolios.</w:t>
      </w:r>
    </w:p>
    <w:p w14:paraId="28D00C5B" w14:textId="77777777" w:rsidR="005034BF" w:rsidRDefault="005034BF" w:rsidP="005034B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Summary Comparison Table (Table 5)</w:t>
      </w:r>
      <w:r>
        <w:t>.</w:t>
      </w:r>
    </w:p>
    <w:p w14:paraId="5076D167" w14:textId="77777777" w:rsidR="005034BF" w:rsidRDefault="005034BF" w:rsidP="005034BF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Scenario Analysis Table (Table 4)</w:t>
      </w:r>
      <w:r>
        <w:t xml:space="preserve"> (flattening/steepening outcomes).</w:t>
      </w:r>
    </w:p>
    <w:p w14:paraId="794C4E28" w14:textId="77777777" w:rsidR="005034BF" w:rsidRDefault="005034BF" w:rsidP="005034BF">
      <w:pPr>
        <w:pStyle w:val="NormalWeb"/>
        <w:numPr>
          <w:ilvl w:val="0"/>
          <w:numId w:val="18"/>
        </w:numPr>
      </w:pPr>
      <w:r>
        <w:t>Sector/rating exposures (insert chart or stacked bar).</w:t>
      </w:r>
    </w:p>
    <w:p w14:paraId="7F5F4A64" w14:textId="77777777" w:rsidR="005034BF" w:rsidRDefault="005034BF" w:rsidP="005034BF">
      <w:pPr>
        <w:pStyle w:val="NormalWeb"/>
        <w:numPr>
          <w:ilvl w:val="0"/>
          <w:numId w:val="18"/>
        </w:numPr>
      </w:pPr>
      <w:r>
        <w:t>Capital implications (directional commentary + caveat).</w:t>
      </w:r>
    </w:p>
    <w:p w14:paraId="05B5D3E5" w14:textId="77777777" w:rsidR="005034BF" w:rsidRDefault="005034BF" w:rsidP="005034BF">
      <w:r>
        <w:pict w14:anchorId="665FAC35">
          <v:rect id="_x0000_i1067" style="width:0;height:1.5pt" o:hralign="center" o:hrstd="t" o:hr="t" fillcolor="#a0a0a0" stroked="f"/>
        </w:pict>
      </w:r>
    </w:p>
    <w:p w14:paraId="2B8EAB85" w14:textId="77777777" w:rsidR="005034BF" w:rsidRDefault="005034BF" w:rsidP="005034BF">
      <w:pPr>
        <w:pStyle w:val="Heading3"/>
      </w:pPr>
      <w:r>
        <w:rPr>
          <w:rStyle w:val="Strong"/>
          <w:b w:val="0"/>
          <w:bCs w:val="0"/>
        </w:rPr>
        <w:t>6. Recommendation (1 page)</w:t>
      </w:r>
    </w:p>
    <w:p w14:paraId="1B56D10E" w14:textId="77777777" w:rsidR="005034BF" w:rsidRDefault="005034BF" w:rsidP="005034BF">
      <w:pPr>
        <w:pStyle w:val="NormalWeb"/>
        <w:numPr>
          <w:ilvl w:val="0"/>
          <w:numId w:val="19"/>
        </w:numPr>
      </w:pPr>
      <w:r>
        <w:t>Clear preferred option (3Y).</w:t>
      </w:r>
    </w:p>
    <w:p w14:paraId="6C9EC15A" w14:textId="77777777" w:rsidR="005034BF" w:rsidRDefault="005034BF" w:rsidP="005034BF">
      <w:pPr>
        <w:pStyle w:val="NormalWeb"/>
        <w:numPr>
          <w:ilvl w:val="0"/>
          <w:numId w:val="19"/>
        </w:numPr>
      </w:pPr>
      <w:r>
        <w:t>Conditional view on 5Y.</w:t>
      </w:r>
    </w:p>
    <w:p w14:paraId="216C8D89" w14:textId="77777777" w:rsidR="005034BF" w:rsidRDefault="005034BF" w:rsidP="005034BF">
      <w:pPr>
        <w:pStyle w:val="NormalWeb"/>
        <w:numPr>
          <w:ilvl w:val="0"/>
          <w:numId w:val="19"/>
        </w:numPr>
      </w:pPr>
      <w:r>
        <w:t>Explicit rejection of 7Y.</w:t>
      </w:r>
    </w:p>
    <w:p w14:paraId="5C7E93B7" w14:textId="77777777" w:rsidR="005034BF" w:rsidRDefault="005034BF" w:rsidP="005034BF">
      <w:pPr>
        <w:pStyle w:val="NormalWeb"/>
        <w:numPr>
          <w:ilvl w:val="0"/>
          <w:numId w:val="19"/>
        </w:numPr>
      </w:pPr>
      <w:r>
        <w:t>Next steps (further liability/capital modelling, balance sheet integration).</w:t>
      </w:r>
    </w:p>
    <w:p w14:paraId="7EF5B03D" w14:textId="77777777" w:rsidR="005034BF" w:rsidRDefault="005034BF" w:rsidP="005034BF">
      <w:r>
        <w:pict w14:anchorId="7F5E5B9F">
          <v:rect id="_x0000_i1068" style="width:0;height:1.5pt" o:hralign="center" o:hrstd="t" o:hr="t" fillcolor="#a0a0a0" stroked="f"/>
        </w:pict>
      </w:r>
    </w:p>
    <w:p w14:paraId="32770F6B" w14:textId="77777777" w:rsidR="005034BF" w:rsidRDefault="005034BF" w:rsidP="005034BF">
      <w:pPr>
        <w:pStyle w:val="Heading2"/>
      </w:pPr>
      <w:r>
        <w:rPr>
          <w:rStyle w:val="Strong"/>
          <w:b w:val="0"/>
          <w:bCs w:val="0"/>
        </w:rPr>
        <w:t>Back Section</w:t>
      </w:r>
    </w:p>
    <w:p w14:paraId="1C974E12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Appendix (as needed)</w:t>
      </w:r>
    </w:p>
    <w:p w14:paraId="739AC5FA" w14:textId="77777777" w:rsidR="005034BF" w:rsidRDefault="005034BF" w:rsidP="005034BF">
      <w:pPr>
        <w:pStyle w:val="NormalWeb"/>
        <w:numPr>
          <w:ilvl w:val="0"/>
          <w:numId w:val="20"/>
        </w:numPr>
      </w:pPr>
      <w:r>
        <w:t>Methodology detail (e.g., historical data source, curve scenarios).</w:t>
      </w:r>
    </w:p>
    <w:p w14:paraId="13AA05ED" w14:textId="77777777" w:rsidR="005034BF" w:rsidRDefault="005034BF" w:rsidP="005034BF">
      <w:pPr>
        <w:pStyle w:val="NormalWeb"/>
        <w:numPr>
          <w:ilvl w:val="0"/>
          <w:numId w:val="20"/>
        </w:numPr>
      </w:pPr>
      <w:r>
        <w:t>Expanded charts/tables not central to the main narrative.</w:t>
      </w:r>
    </w:p>
    <w:p w14:paraId="7CB2238B" w14:textId="77777777" w:rsidR="005034BF" w:rsidRDefault="005034BF" w:rsidP="005034BF">
      <w:pPr>
        <w:pStyle w:val="NormalWeb"/>
        <w:numPr>
          <w:ilvl w:val="0"/>
          <w:numId w:val="20"/>
        </w:numPr>
      </w:pPr>
      <w:r>
        <w:t>Glossary of fixed income terms (optional, if the audience is mixed).</w:t>
      </w:r>
    </w:p>
    <w:p w14:paraId="590A9284" w14:textId="77777777" w:rsidR="005034BF" w:rsidRDefault="005034BF" w:rsidP="005034BF">
      <w:pPr>
        <w:pStyle w:val="NormalWeb"/>
      </w:pPr>
      <w:r>
        <w:rPr>
          <w:rStyle w:val="Strong"/>
          <w:rFonts w:eastAsiaTheme="majorEastAsia"/>
        </w:rPr>
        <w:t>Excel Pack (separate file)</w:t>
      </w:r>
    </w:p>
    <w:p w14:paraId="05A3B816" w14:textId="77777777" w:rsidR="005034BF" w:rsidRDefault="005034BF" w:rsidP="005034BF">
      <w:pPr>
        <w:pStyle w:val="NormalWeb"/>
        <w:numPr>
          <w:ilvl w:val="0"/>
          <w:numId w:val="21"/>
        </w:numPr>
      </w:pPr>
      <w:r>
        <w:t>Full historical performance by year.</w:t>
      </w:r>
    </w:p>
    <w:p w14:paraId="74D9C735" w14:textId="77777777" w:rsidR="005034BF" w:rsidRDefault="005034BF" w:rsidP="005034BF">
      <w:pPr>
        <w:pStyle w:val="NormalWeb"/>
        <w:numPr>
          <w:ilvl w:val="0"/>
          <w:numId w:val="21"/>
        </w:numPr>
      </w:pPr>
      <w:r>
        <w:t>DV01/CV01 ladders.</w:t>
      </w:r>
    </w:p>
    <w:p w14:paraId="61BC2454" w14:textId="77777777" w:rsidR="005034BF" w:rsidRDefault="005034BF" w:rsidP="005034BF">
      <w:pPr>
        <w:pStyle w:val="NormalWeb"/>
        <w:numPr>
          <w:ilvl w:val="0"/>
          <w:numId w:val="21"/>
        </w:numPr>
      </w:pPr>
      <w:r>
        <w:t>Scenario analysis outputs.</w:t>
      </w:r>
    </w:p>
    <w:p w14:paraId="09CA8FE6" w14:textId="77777777" w:rsidR="005034BF" w:rsidRDefault="005034BF" w:rsidP="005034BF">
      <w:pPr>
        <w:pStyle w:val="NormalWeb"/>
        <w:numPr>
          <w:ilvl w:val="0"/>
          <w:numId w:val="21"/>
        </w:numPr>
      </w:pPr>
      <w:r>
        <w:t>Sector/rating breakdowns.</w:t>
      </w:r>
    </w:p>
    <w:p w14:paraId="3AFF14D1" w14:textId="77777777" w:rsidR="005034BF" w:rsidRDefault="005034BF" w:rsidP="005034BF">
      <w:pPr>
        <w:pStyle w:val="NormalWeb"/>
        <w:numPr>
          <w:ilvl w:val="0"/>
          <w:numId w:val="21"/>
        </w:numPr>
      </w:pPr>
      <w:r>
        <w:t>Sharpe ratios and risk-adjusted returns.</w:t>
      </w:r>
    </w:p>
    <w:p w14:paraId="66CE5A7C" w14:textId="77777777" w:rsidR="005034BF" w:rsidRDefault="005034BF" w:rsidP="005034BF">
      <w:r>
        <w:pict w14:anchorId="61EDD1F4">
          <v:rect id="_x0000_i1069" style="width:0;height:1.5pt" o:hralign="center" o:hrstd="t" o:hr="t" fillcolor="#a0a0a0" stroked="f"/>
        </w:pict>
      </w:r>
    </w:p>
    <w:p w14:paraId="1572289B" w14:textId="77777777" w:rsidR="005034BF" w:rsidRDefault="005034BF" w:rsidP="005034BF">
      <w:pPr>
        <w:pStyle w:val="Heading3"/>
      </w:pPr>
      <w:r>
        <w:rPr>
          <w:rStyle w:val="Strong"/>
          <w:b w:val="0"/>
          <w:bCs w:val="0"/>
        </w:rPr>
        <w:t>Design Notes</w:t>
      </w:r>
    </w:p>
    <w:p w14:paraId="578C88D1" w14:textId="77777777" w:rsidR="005034BF" w:rsidRDefault="005034BF" w:rsidP="005034BF">
      <w:pPr>
        <w:pStyle w:val="NormalWeb"/>
        <w:numPr>
          <w:ilvl w:val="0"/>
          <w:numId w:val="22"/>
        </w:numPr>
      </w:pPr>
      <w:r>
        <w:t xml:space="preserve">Keep main report </w:t>
      </w:r>
      <w:r>
        <w:rPr>
          <w:rStyle w:val="Strong"/>
          <w:rFonts w:eastAsiaTheme="majorEastAsia"/>
        </w:rPr>
        <w:t>narrative + summary tables/charts</w:t>
      </w:r>
      <w:proofErr w:type="gramStart"/>
      <w:r>
        <w:t xml:space="preserve">. </w:t>
      </w:r>
      <w:proofErr w:type="gramEnd"/>
      <w:r>
        <w:t>No more than 3–4 tables in the body, everything else into the appendix/Excel pack.</w:t>
      </w:r>
    </w:p>
    <w:p w14:paraId="456990D8" w14:textId="77777777" w:rsidR="005034BF" w:rsidRDefault="005034BF" w:rsidP="005034BF">
      <w:pPr>
        <w:pStyle w:val="NormalWeb"/>
        <w:numPr>
          <w:ilvl w:val="0"/>
          <w:numId w:val="22"/>
        </w:numPr>
      </w:pPr>
      <w:r>
        <w:lastRenderedPageBreak/>
        <w:t xml:space="preserve">Use </w:t>
      </w:r>
      <w:r>
        <w:rPr>
          <w:rStyle w:val="Strong"/>
          <w:rFonts w:eastAsiaTheme="majorEastAsia"/>
        </w:rPr>
        <w:t>consistent formatting</w:t>
      </w:r>
      <w:r>
        <w:t xml:space="preserve"> for Key Metrics tables (same order of metrics, aligned units).</w:t>
      </w:r>
    </w:p>
    <w:p w14:paraId="7DE67CEA" w14:textId="77777777" w:rsidR="005034BF" w:rsidRDefault="005034BF" w:rsidP="005034BF">
      <w:pPr>
        <w:pStyle w:val="NormalWeb"/>
        <w:numPr>
          <w:ilvl w:val="0"/>
          <w:numId w:val="22"/>
        </w:numPr>
      </w:pPr>
      <w:r>
        <w:t>Visual cues (</w:t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Fonts w:ascii="Cambria Math" w:hAnsi="Cambria Math" w:cs="Cambria Math"/>
        </w:rPr>
        <w:t>△</w:t>
      </w:r>
      <w:r>
        <w:t xml:space="preserve"> </w:t>
      </w:r>
      <w:r>
        <w:rPr>
          <w:rFonts w:ascii="Segoe UI Symbol" w:hAnsi="Segoe UI Symbol" w:cs="Segoe UI Symbol"/>
        </w:rPr>
        <w:t>✘</w:t>
      </w:r>
      <w:r>
        <w:t>) in summary tables are very effective for board-level readers.</w:t>
      </w:r>
    </w:p>
    <w:p w14:paraId="71AC1120" w14:textId="77777777" w:rsidR="00544941" w:rsidRDefault="00544941"/>
    <w:sectPr w:rsidR="0054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FD0"/>
    <w:multiLevelType w:val="multilevel"/>
    <w:tmpl w:val="BEAA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D5A71"/>
    <w:multiLevelType w:val="multilevel"/>
    <w:tmpl w:val="CAA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8389D"/>
    <w:multiLevelType w:val="multilevel"/>
    <w:tmpl w:val="49AE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64747"/>
    <w:multiLevelType w:val="multilevel"/>
    <w:tmpl w:val="A18C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74085"/>
    <w:multiLevelType w:val="multilevel"/>
    <w:tmpl w:val="E52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45B35"/>
    <w:multiLevelType w:val="multilevel"/>
    <w:tmpl w:val="853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71D56"/>
    <w:multiLevelType w:val="multilevel"/>
    <w:tmpl w:val="361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B5307"/>
    <w:multiLevelType w:val="multilevel"/>
    <w:tmpl w:val="F754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94B8C"/>
    <w:multiLevelType w:val="multilevel"/>
    <w:tmpl w:val="E3C8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D3F05"/>
    <w:multiLevelType w:val="multilevel"/>
    <w:tmpl w:val="BB2A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B38CA"/>
    <w:multiLevelType w:val="multilevel"/>
    <w:tmpl w:val="AF6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E00F8"/>
    <w:multiLevelType w:val="multilevel"/>
    <w:tmpl w:val="B8E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057E7"/>
    <w:multiLevelType w:val="multilevel"/>
    <w:tmpl w:val="1C0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10464"/>
    <w:multiLevelType w:val="multilevel"/>
    <w:tmpl w:val="549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A3B23"/>
    <w:multiLevelType w:val="multilevel"/>
    <w:tmpl w:val="F094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E351F"/>
    <w:multiLevelType w:val="multilevel"/>
    <w:tmpl w:val="37B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225E5"/>
    <w:multiLevelType w:val="multilevel"/>
    <w:tmpl w:val="0F5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B4738"/>
    <w:multiLevelType w:val="multilevel"/>
    <w:tmpl w:val="E39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96AE3"/>
    <w:multiLevelType w:val="multilevel"/>
    <w:tmpl w:val="BEEE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D10E3"/>
    <w:multiLevelType w:val="multilevel"/>
    <w:tmpl w:val="F67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C7E0D"/>
    <w:multiLevelType w:val="multilevel"/>
    <w:tmpl w:val="08B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65E73"/>
    <w:multiLevelType w:val="multilevel"/>
    <w:tmpl w:val="41F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977755">
    <w:abstractNumId w:val="3"/>
  </w:num>
  <w:num w:numId="2" w16cid:durableId="712771762">
    <w:abstractNumId w:val="9"/>
  </w:num>
  <w:num w:numId="3" w16cid:durableId="651375098">
    <w:abstractNumId w:val="7"/>
  </w:num>
  <w:num w:numId="4" w16cid:durableId="258759412">
    <w:abstractNumId w:val="1"/>
  </w:num>
  <w:num w:numId="5" w16cid:durableId="1152479627">
    <w:abstractNumId w:val="4"/>
  </w:num>
  <w:num w:numId="6" w16cid:durableId="697126675">
    <w:abstractNumId w:val="8"/>
  </w:num>
  <w:num w:numId="7" w16cid:durableId="110171910">
    <w:abstractNumId w:val="10"/>
  </w:num>
  <w:num w:numId="8" w16cid:durableId="816461517">
    <w:abstractNumId w:val="0"/>
  </w:num>
  <w:num w:numId="9" w16cid:durableId="782967478">
    <w:abstractNumId w:val="15"/>
  </w:num>
  <w:num w:numId="10" w16cid:durableId="96605573">
    <w:abstractNumId w:val="16"/>
  </w:num>
  <w:num w:numId="11" w16cid:durableId="269050450">
    <w:abstractNumId w:val="21"/>
  </w:num>
  <w:num w:numId="12" w16cid:durableId="135998108">
    <w:abstractNumId w:val="5"/>
  </w:num>
  <w:num w:numId="13" w16cid:durableId="1020737171">
    <w:abstractNumId w:val="11"/>
  </w:num>
  <w:num w:numId="14" w16cid:durableId="694498840">
    <w:abstractNumId w:val="17"/>
  </w:num>
  <w:num w:numId="15" w16cid:durableId="272438542">
    <w:abstractNumId w:val="13"/>
  </w:num>
  <w:num w:numId="16" w16cid:durableId="1547911082">
    <w:abstractNumId w:val="18"/>
  </w:num>
  <w:num w:numId="17" w16cid:durableId="1013189714">
    <w:abstractNumId w:val="2"/>
  </w:num>
  <w:num w:numId="18" w16cid:durableId="909659763">
    <w:abstractNumId w:val="12"/>
  </w:num>
  <w:num w:numId="19" w16cid:durableId="1466701094">
    <w:abstractNumId w:val="14"/>
  </w:num>
  <w:num w:numId="20" w16cid:durableId="1646623781">
    <w:abstractNumId w:val="20"/>
  </w:num>
  <w:num w:numId="21" w16cid:durableId="817841190">
    <w:abstractNumId w:val="19"/>
  </w:num>
  <w:num w:numId="22" w16cid:durableId="2132816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BF"/>
    <w:rsid w:val="002978BE"/>
    <w:rsid w:val="005034BF"/>
    <w:rsid w:val="00544941"/>
    <w:rsid w:val="00593A61"/>
    <w:rsid w:val="007167D2"/>
    <w:rsid w:val="00BB05F8"/>
    <w:rsid w:val="00E4118F"/>
    <w:rsid w:val="00E722E8"/>
    <w:rsid w:val="00E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462D"/>
  <w15:chartTrackingRefBased/>
  <w15:docId w15:val="{1BB6A35E-0385-4B0A-8E30-AF867232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34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503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2927</Words>
  <Characters>16690</Characters>
  <Application>Microsoft Office Word</Application>
  <DocSecurity>0</DocSecurity>
  <Lines>139</Lines>
  <Paragraphs>39</Paragraphs>
  <ScaleCrop>false</ScaleCrop>
  <Company/>
  <LinksUpToDate>false</LinksUpToDate>
  <CharactersWithSpaces>19578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Symons</dc:creator>
  <cp:keywords/>
  <dc:description/>
  <cp:lastModifiedBy>Nicholas Symons</cp:lastModifiedBy>
  <cp:revision>1</cp:revision>
  <dcterms:created xsi:type="dcterms:W3CDTF">2025-09-10T10:50:00Z</dcterms:created>
  <dcterms:modified xsi:type="dcterms:W3CDTF">2025-09-10T10:53:00Z</dcterms:modified>
</cp:coreProperties>
</file>