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Kreiranje mreže s ciljnom varijablom creditHistory. Forsirao sam vezu za varijable:  ageYears, purpose, personalStatusSex, exsistingCreditThisBank. </w:t>
      </w:r>
    </w:p>
    <w:p>
      <w:pPr>
        <w:pStyle w:val="Normal"/>
        <w:rPr/>
      </w:pPr>
      <w:r>
        <w:rPr/>
        <w:t>Odabrane varijable (ageYears, purpose, personalStatusSex i existingCreditsThisBank) forsirane su kao roditelji ciljne varijable jer su prethodnom WoE/IV analizom identificirane kao najinformativnije. Diskretizacija kontinuiranih varijabli nužna je jer Bayesove mreže rade nad kategoričkim stanjima, a ujedno omogućuje stabilnije procjene uvjetnih vjerojatnosti.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474345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Izgled gotove mreže:</w:t>
      </w:r>
    </w:p>
    <w:p>
      <w:pPr>
        <w:pStyle w:val="Normal"/>
        <w:rPr/>
      </w:pPr>
      <w:r>
        <w:rPr/>
        <w:drawing>
          <wp:inline distT="0" distB="0" distL="0" distR="0">
            <wp:extent cx="5991860" cy="338010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338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Iz strukture mreže vidljivo je da dob klijenta i namjena kredita imaju izravni utjecaj na kreditnu povijest, dok ostale varijable djeluju posredno, što je u skladu s rezultatima WoE i IV analize.</w:t>
      </w:r>
    </w:p>
    <w:p>
      <w:pPr>
        <w:pStyle w:val="Normal"/>
        <w:rPr/>
      </w:pPr>
      <w:r>
        <w:rPr/>
        <w:t>Izgled ROC za ciljanu varijablu i kategoriju (A32):</w:t>
      </w:r>
    </w:p>
    <w:p>
      <w:pPr>
        <w:pStyle w:val="Normal"/>
        <w:rPr/>
      </w:pPr>
      <w:r>
        <w:rPr/>
        <w:drawing>
          <wp:inline distT="0" distB="0" distL="0" distR="0">
            <wp:extent cx="3039110" cy="309753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309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Vrijednost AUC-a od 0.9065 ukazuje na vrlo dobru prediktivnu sposobnost modela, budući da se vrijednosti iznad 0.9 u praksi smatraju izvrsnima. Time se potvrđuje da je Bayesova mreža učinkovita u prepoznavanju kreditnog rizika.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" w:hAnsi="Aptos"/>
          <w:sz w:val="24"/>
          <w:szCs w:val="24"/>
          <w:lang w:val="hr-HR"/>
        </w:rPr>
      </w:pPr>
      <w:r>
        <w:rPr>
          <w:rFonts w:ascii="Aptos" w:hAnsi="Aptos"/>
          <w:sz w:val="24"/>
          <w:szCs w:val="24"/>
          <w:lang w:val="hr-HR"/>
        </w:rPr>
        <w:t>Preciznost i konfuzijska matrica kreiranog modela:</w:t>
      </w:r>
    </w:p>
    <w:p>
      <w:pPr>
        <w:pStyle w:val="Normal"/>
        <w:rPr/>
      </w:pPr>
      <w:r>
        <w:rPr/>
        <w:drawing>
          <wp:inline distT="0" distB="0" distL="0" distR="0">
            <wp:extent cx="4019550" cy="14763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200525" cy="19050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 w:val="false"/>
          <w:bCs w:val="false"/>
        </w:rPr>
      </w:pPr>
      <w:r>
        <w:rPr/>
        <w:t xml:space="preserve">Scenarij 1: </w:t>
      </w:r>
    </w:p>
    <w:p>
      <w:pPr>
        <w:pStyle w:val="Normal"/>
        <w:rPr/>
      </w:pPr>
      <w:r>
        <w:rPr/>
        <w:t>Varijabla: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/>
        <w:t>ageYears: &lt; 26</w:t>
      </w:r>
    </w:p>
    <w:p>
      <w:pPr>
        <w:pStyle w:val="ListParagraph"/>
        <w:numPr>
          <w:ilvl w:val="0"/>
          <w:numId w:val="1"/>
        </w:numPr>
        <w:rPr>
          <w:b w:val="false"/>
          <w:bCs w:val="false"/>
        </w:rPr>
      </w:pPr>
      <w:r>
        <w:rPr>
          <w:sz w:val="24"/>
          <w:szCs w:val="24"/>
        </w:rPr>
        <w:t>purpose: A43 - “radio/television“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hr-HR"/>
        </w:rPr>
        <w:t>Rezultat pokazuje da se za ciljanu varijablu A32 – “kašnjenje u otplati” vjerojatnost povećava s početnih 47 % na 71 %. To upućuje na veći rizik od neplaćanja kod osoba mlađih od 26 godina koje uzimaju kredit za namjene koje ne predstavljaju dugotrajnu i isplativu investiciju.</w:t>
      </w:r>
    </w:p>
    <w:p>
      <w:pPr>
        <w:pStyle w:val="Normal"/>
        <w:rPr/>
      </w:pPr>
      <w:r>
        <w:rPr/>
        <w:drawing>
          <wp:inline distT="0" distB="0" distL="0" distR="0">
            <wp:extent cx="5943600" cy="30099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Scenarij 2:</w:t>
      </w:r>
    </w:p>
    <w:p>
      <w:pPr>
        <w:pStyle w:val="Normal"/>
        <w:rPr>
          <w:rFonts w:ascii="Aptos" w:hAnsi="Aptos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hr-HR"/>
        </w:rPr>
      </w:pPr>
      <w:r>
        <w:rPr>
          <w:rFonts w:ascii="Aptos" w:hAnsi="Aptos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hr-HR"/>
        </w:rPr>
        <w:t xml:space="preserve">Varijable: </w:t>
      </w:r>
    </w:p>
    <w:p>
      <w:pPr>
        <w:pStyle w:val="ListParagraph"/>
        <w:numPr>
          <w:ilvl w:val="0"/>
          <w:numId w:val="2"/>
        </w:numPr>
        <w:rPr>
          <w:rFonts w:ascii="Aptos" w:hAnsi="Aptos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ascii="Aptos" w:hAnsi="Aptos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ageYears = &gt;45 godina, </w:t>
      </w:r>
    </w:p>
    <w:p>
      <w:pPr>
        <w:pStyle w:val="ListParagraph"/>
        <w:numPr>
          <w:ilvl w:val="0"/>
          <w:numId w:val="2"/>
        </w:numPr>
        <w:rPr>
          <w:rFonts w:ascii="Aptos" w:hAnsi="Aptos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ascii="Aptos" w:hAnsi="Aptos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personalStatusSex = A93 ("male: single") 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hr-HR"/>
        </w:rPr>
        <w:t xml:space="preserve">Vjerojatnost kašnjenja u otplati kredita iznosi 39 %. Za varijablu „A34 - kašnjenje u prošlosti” ta se vjerojatnost povećava s 27 % na 39 %. To upućuje na to da za starije klijente postoji više povijesnih podataka o njihovom ponašanju pri otplati kredita. </w:t>
      </w:r>
      <w:r>
        <w:rPr/>
        <w:t>To upućuje na to da povijest kašnjenja u otplati značajno povećava vjerojatnost budućih problema s otplatom, osobito kod starijih klijenata za koje postoji više dostupnih podataka.</w:t>
      </w:r>
    </w:p>
    <w:p>
      <w:pPr>
        <w:pStyle w:val="Normal"/>
        <w:rPr/>
      </w:pPr>
      <w:r>
        <w:rPr/>
        <w:drawing>
          <wp:inline distT="0" distB="0" distL="0" distR="0">
            <wp:extent cx="5943600" cy="30099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Scenarij 3: Varijable: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/>
        <w:t xml:space="preserve"> </w:t>
      </w:r>
      <w:r>
        <w:rPr/>
        <w:t xml:space="preserve">AgeYears: 45 i gore, </w:t>
      </w:r>
    </w:p>
    <w:p>
      <w:pPr>
        <w:pStyle w:val="ListParagraph"/>
        <w:numPr>
          <w:ilvl w:val="0"/>
          <w:numId w:val="3"/>
        </w:numPr>
        <w:rPr/>
      </w:pPr>
      <w:r>
        <w:rPr/>
        <w:t>emplomentSince: A75 - ≥ 7 years</w:t>
      </w:r>
    </w:p>
    <w:p>
      <w:pPr>
        <w:pStyle w:val="ListParagraph"/>
        <w:numPr>
          <w:ilvl w:val="0"/>
          <w:numId w:val="3"/>
        </w:numPr>
        <w:rPr/>
      </w:pPr>
      <w:r>
        <w:rPr/>
        <w:t>Job: A174: management / self-employed / highly qualified</w:t>
      </w:r>
    </w:p>
    <w:p>
      <w:pPr>
        <w:pStyle w:val="Normal"/>
        <w:rPr>
          <w:sz w:val="24"/>
          <w:szCs w:val="24"/>
        </w:rPr>
      </w:pPr>
      <w:r>
        <w:rPr>
          <w:rFonts w:ascii="Aptos" w:hAnsi="Aptos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hr-HR"/>
        </w:rPr>
        <w:t>Model efikasno smanjuje vjerojatnost aktualnog rizika (A32) kod stabilnih klijenata, iako rijetke klase (A30 - no credits taken / all paid /A31 - all credits paid back duly) imaju ograničene pomake zbog male zastupljenosti u podacima.</w:t>
      </w:r>
      <w:r>
        <w:rPr>
          <w:sz w:val="24"/>
          <w:szCs w:val="24"/>
        </w:rPr>
        <w:t xml:space="preserve"> </w:t>
      </w:r>
      <w:r>
        <w:rPr/>
        <w:t>Unatoč tom ograničenju, model jasno razlikuje stabilne i rizične profile klijenata.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 xml:space="preserve"> </w:t>
      </w:r>
      <w:r>
        <w:rPr/>
        <w:drawing>
          <wp:inline distT="0" distB="0" distL="0" distR="0">
            <wp:extent cx="6391275" cy="323659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23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73966703"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hr-HR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73966703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LibreOffice/25.8.4.2$Linux_X86_64 LibreOffice_project/0366609b1de41a39e1896ae41e33c673f2a73802</Application>
  <AppVersion>15.0000</AppVersion>
  <Pages>6</Pages>
  <Words>348</Words>
  <Characters>2048</Characters>
  <CharactersWithSpaces>2377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2026-02-06T14:30:28Z</dcterms:created>
  <dc:creator>Nikola Tuček (ntucek)</dc:creator>
  <dc:description/>
  <dc:language>en-US</dc:language>
  <cp:lastModifiedBy/>
  <dcterms:modified xsi:type="dcterms:W3CDTF">2026-02-06T17:23:48Z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