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distT="0" distB="0" distL="0" distR="0" simplePos="0" relativeHeight="2" behindDoc="0" locked="0" layoutInCell="0" allowOverlap="1">
            <wp:simplePos x="0" y="0"/>
            <wp:positionH relativeFrom="column">
              <wp:posOffset>250190</wp:posOffset>
            </wp:positionH>
            <wp:positionV relativeFrom="paragraph">
              <wp:posOffset>-182245</wp:posOffset>
            </wp:positionV>
            <wp:extent cx="5731510" cy="64833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731510" cy="648335"/>
                    </a:xfrm>
                    <a:prstGeom prst="rect">
                      <a:avLst/>
                    </a:prstGeom>
                    <a:noFill/>
                  </pic:spPr>
                </pic:pic>
              </a:graphicData>
            </a:graphic>
          </wp:anchor>
        </w:drawing>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Style w:val="Ninguno"/>
          <w:rFonts w:eastAsia="Yu Gothic" w:cs="Yu Gothic" w:ascii="Yu Gothic" w:hAnsi="Yu Gothic"/>
          <w:b/>
          <w:bCs/>
          <w:i w:val="false"/>
          <w:iCs w:val="false"/>
          <w:color w:themeColor="text1" w:val="000000"/>
          <w:sz w:val="40"/>
          <w:szCs w:val="40"/>
          <w:lang w:val="es-ES"/>
        </w:rPr>
        <w:t>MÓDULO PROYECTO DE ADMINISTRACIÓN DE SISTEMAS INFORMATICOS EN RED</w:t>
      </w:r>
    </w:p>
    <w:p>
      <w:pPr>
        <w:pStyle w:val="Normal"/>
        <w:widowControl w:val="false"/>
        <w:bidi w:val="0"/>
        <w:spacing w:lineRule="auto" w:line="240" w:before="0" w:after="0"/>
        <w:jc w:val="center"/>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center"/>
        <w:rPr/>
      </w:pPr>
      <w:r>
        <w:rPr>
          <w:rStyle w:val="Ninguno"/>
          <w:rFonts w:eastAsia="Yu Gothic" w:cs="Yu Gothic" w:ascii="Yu Gothic" w:hAnsi="Yu Gothic"/>
          <w:b/>
          <w:bCs/>
          <w:i w:val="false"/>
          <w:iCs w:val="false"/>
          <w:strike w:val="false"/>
          <w:dstrike w:val="false"/>
          <w:color w:val="000000"/>
          <w:sz w:val="40"/>
          <w:szCs w:val="40"/>
          <w:u w:val="none"/>
          <w:lang w:val="es-ES"/>
        </w:rPr>
        <w:t xml:space="preserve">TÍTULO  DEL PROYECTO ACEPTADO O ASIGNADO </w:t>
      </w:r>
    </w:p>
    <w:p>
      <w:pPr>
        <w:pStyle w:val="Normal"/>
        <w:widowControl w:val="false"/>
        <w:bidi w:val="0"/>
        <w:spacing w:lineRule="auto" w:line="240" w:before="0" w:after="0"/>
        <w:jc w:val="center"/>
        <w:rPr/>
      </w:pPr>
      <w:r>
        <w:rPr>
          <w:rStyle w:val="Ninguno"/>
          <w:rFonts w:eastAsia="Yu Gothic" w:cs="Yu Gothic" w:ascii="Yu Gothic" w:hAnsi="Yu Gothic"/>
          <w:b/>
          <w:bCs/>
          <w:i w:val="false"/>
          <w:iCs w:val="false"/>
          <w:strike w:val="false"/>
          <w:dstrike w:val="false"/>
          <w:color w:val="000000"/>
          <w:sz w:val="40"/>
          <w:szCs w:val="40"/>
          <w:u w:val="none"/>
          <w:lang w:val="es-ES"/>
        </w:rPr>
        <w:t>POR EL EQUIPO DOCENTE</w:t>
      </w:r>
    </w:p>
    <w:p>
      <w:pPr>
        <w:pStyle w:val="Normal"/>
        <w:widowControl w:val="false"/>
        <w:bidi w:val="0"/>
        <w:spacing w:lineRule="auto" w:line="240" w:before="0" w:after="0"/>
        <w:jc w:val="center"/>
        <w:rPr>
          <w:rStyle w:val="Ninguno"/>
          <w:rFonts w:ascii="Yu Gothic" w:hAnsi="Yu Gothic" w:eastAsia="Yu Gothic" w:cs="Yu Gothic"/>
          <w:b/>
          <w:bCs/>
          <w:i w:val="false"/>
          <w:iCs w:val="false"/>
          <w:strike w:val="false"/>
          <w:dstrike w:val="false"/>
          <w:color w:val="000000"/>
          <w:sz w:val="40"/>
          <w:szCs w:val="40"/>
          <w:u w:val="none"/>
          <w:lang w:val="es-ES"/>
        </w:rPr>
      </w:pPr>
      <w:r>
        <w:rPr>
          <w:rFonts w:eastAsia="Yu Gothic" w:cs="Yu Gothic" w:ascii="Yu Gothic" w:hAnsi="Yu Gothic"/>
          <w:b/>
          <w:bCs/>
          <w:i w:val="false"/>
          <w:iCs w:val="false"/>
          <w:strike w:val="false"/>
          <w:dstrike w:val="false"/>
          <w:color w:val="000000"/>
          <w:sz w:val="40"/>
          <w:szCs w:val="40"/>
          <w:u w:val="none"/>
          <w:lang w:val="es-ES"/>
        </w:rPr>
      </w:r>
    </w:p>
    <w:p>
      <w:pPr>
        <w:pStyle w:val="Normal"/>
        <w:widowControl w:val="false"/>
        <w:bidi w:val="0"/>
        <w:spacing w:lineRule="auto" w:line="240" w:before="0" w:after="0"/>
        <w:jc w:val="center"/>
        <w:rPr/>
      </w:pPr>
      <w:r>
        <w:rPr>
          <w:rStyle w:val="Ninguno"/>
          <w:rFonts w:eastAsia="Yu Gothic" w:cs="Yu Gothic" w:ascii="Yu Gothic" w:hAnsi="Yu Gothic"/>
          <w:b/>
          <w:bCs/>
          <w:i w:val="false"/>
          <w:iCs w:val="false"/>
          <w:strike w:val="false"/>
          <w:dstrike w:val="false"/>
          <w:color w:val="000000"/>
          <w:sz w:val="40"/>
          <w:szCs w:val="40"/>
          <w:u w:val="none"/>
          <w:lang w:val="es-ES"/>
        </w:rPr>
        <w:t>“</w:t>
      </w:r>
      <w:r>
        <w:rPr>
          <w:rStyle w:val="Ninguno"/>
          <w:rFonts w:eastAsia="Yu Gothic" w:cs="Yu Gothic" w:ascii="Yu Gothic" w:hAnsi="Yu Gothic"/>
          <w:b/>
          <w:bCs/>
          <w:i w:val="false"/>
          <w:iCs w:val="false"/>
          <w:strike w:val="false"/>
          <w:dstrike w:val="false"/>
          <w:color w:val="000000"/>
          <w:sz w:val="40"/>
          <w:szCs w:val="40"/>
          <w:u w:val="none"/>
          <w:lang w:val="es-ES"/>
        </w:rPr>
        <w:t>DATASAFE RECOVERY(DSR)”</w:t>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jc w:val="start"/>
        <w:rPr>
          <w:rFonts w:ascii="Yu Gothic" w:hAnsi="Yu Gothic" w:eastAsia="Yu Gothic" w:cs="Yu Gothic"/>
          <w:b w:val="false"/>
          <w:bCs w:val="false"/>
          <w:i w:val="false"/>
          <w:iCs w:val="false"/>
          <w:color w:themeColor="text1" w:val="000000"/>
          <w:sz w:val="22"/>
          <w:szCs w:val="22"/>
          <w:lang w:val="es-ES"/>
        </w:rPr>
      </w:pPr>
      <w:r>
        <w:rPr>
          <w:rFonts w:eastAsia="Yu Gothic" w:cs="Yu Gothic" w:ascii="Yu Gothic" w:hAnsi="Yu Gothic"/>
          <w:b w:val="false"/>
          <w:bCs w:val="false"/>
          <w:i w:val="false"/>
          <w:iCs w:val="false"/>
          <w:color w:themeColor="text1" w:val="000000"/>
          <w:sz w:val="22"/>
          <w:szCs w:val="22"/>
          <w:lang w:val="es-ES"/>
        </w:rPr>
      </w:r>
    </w:p>
    <w:p>
      <w:pPr>
        <w:pStyle w:val="Normal"/>
        <w:widowControl w:val="false"/>
        <w:bidi w:val="0"/>
        <w:spacing w:lineRule="auto" w:line="240" w:before="0" w:after="0"/>
        <w:ind w:hanging="0" w:end="580"/>
        <w:jc w:val="end"/>
        <w:rPr>
          <w:rFonts w:ascii="Yu Gothic" w:hAnsi="Yu Gothic" w:eastAsia="Yu Gothic" w:cs="Yu Gothic"/>
          <w:b w:val="false"/>
          <w:bCs w:val="false"/>
          <w:i w:val="false"/>
          <w:iCs w:val="false"/>
          <w:color w:val="0000FF"/>
          <w:sz w:val="22"/>
          <w:szCs w:val="22"/>
          <w:lang w:val="es-ES"/>
        </w:rPr>
      </w:pPr>
      <w:r>
        <w:rPr>
          <w:rStyle w:val="Ninguno"/>
          <w:rFonts w:eastAsia="Yu Gothic" w:cs="Yu Gothic" w:ascii="Yu Gothic" w:hAnsi="Yu Gothic"/>
          <w:b/>
          <w:bCs/>
          <w:i w:val="false"/>
          <w:iCs w:val="false"/>
          <w:color w:themeColor="text1" w:val="000000"/>
          <w:sz w:val="22"/>
          <w:szCs w:val="22"/>
          <w:lang w:val="es-ES"/>
        </w:rPr>
        <w:t>AUTOR/A</w:t>
      </w:r>
      <w:r>
        <w:rPr>
          <w:rStyle w:val="Ninguno"/>
          <w:rFonts w:eastAsia="Yu Gothic" w:cs="Yu Gothic" w:ascii="Yu Gothic" w:hAnsi="Yu Gothic"/>
          <w:b w:val="false"/>
          <w:bCs w:val="false"/>
          <w:i w:val="false"/>
          <w:iCs w:val="false"/>
          <w:color w:themeColor="text1" w:val="000000"/>
          <w:sz w:val="22"/>
          <w:szCs w:val="22"/>
          <w:lang w:val="es-ES"/>
        </w:rPr>
        <w:t>: Nacho Herrero Llopis</w:t>
      </w:r>
    </w:p>
    <w:p>
      <w:pPr>
        <w:pStyle w:val="Normal"/>
        <w:widowControl w:val="false"/>
        <w:bidi w:val="0"/>
        <w:spacing w:lineRule="auto" w:line="240" w:before="0" w:after="0"/>
        <w:ind w:hanging="0" w:end="580"/>
        <w:jc w:val="end"/>
        <w:rPr>
          <w:rFonts w:ascii="Yu Gothic" w:hAnsi="Yu Gothic" w:eastAsia="Yu Gothic" w:cs="Yu Gothic"/>
          <w:b w:val="false"/>
          <w:bCs w:val="false"/>
          <w:i w:val="false"/>
          <w:iCs w:val="false"/>
          <w:color w:val="0000FF"/>
          <w:sz w:val="22"/>
          <w:szCs w:val="22"/>
          <w:lang w:val="es-ES"/>
        </w:rPr>
      </w:pPr>
      <w:r>
        <w:rPr>
          <w:rStyle w:val="Ninguno"/>
          <w:rFonts w:eastAsia="Yu Gothic" w:cs="Yu Gothic" w:ascii="Yu Gothic" w:hAnsi="Yu Gothic"/>
          <w:b/>
          <w:bCs/>
          <w:i w:val="false"/>
          <w:iCs w:val="false"/>
          <w:color w:themeColor="text1" w:val="000000"/>
          <w:sz w:val="22"/>
          <w:szCs w:val="22"/>
          <w:lang w:val="es-ES"/>
        </w:rPr>
        <w:t>NIA</w:t>
      </w:r>
      <w:r>
        <w:rPr>
          <w:rStyle w:val="Ninguno"/>
          <w:rFonts w:eastAsia="Yu Gothic" w:cs="Yu Gothic" w:ascii="Yu Gothic" w:hAnsi="Yu Gothic"/>
          <w:b w:val="false"/>
          <w:bCs w:val="false"/>
          <w:i w:val="false"/>
          <w:iCs w:val="false"/>
          <w:color w:themeColor="text1" w:val="000000"/>
          <w:sz w:val="22"/>
          <w:szCs w:val="22"/>
          <w:lang w:val="es-ES"/>
        </w:rPr>
        <w:t>: 10917142</w:t>
      </w:r>
    </w:p>
    <w:p>
      <w:pPr>
        <w:pStyle w:val="Normal"/>
        <w:widowControl w:val="false"/>
        <w:bidi w:val="0"/>
        <w:spacing w:lineRule="auto" w:line="240" w:before="0" w:after="0"/>
        <w:ind w:hanging="0" w:end="580"/>
        <w:jc w:val="end"/>
        <w:rPr>
          <w:rFonts w:ascii="Yu Gothic" w:hAnsi="Yu Gothic" w:eastAsia="Yu Gothic" w:cs="Yu Gothic"/>
          <w:b w:val="false"/>
          <w:bCs w:val="false"/>
          <w:i w:val="false"/>
          <w:iCs w:val="false"/>
          <w:color w:val="0000FF"/>
          <w:sz w:val="22"/>
          <w:szCs w:val="22"/>
          <w:lang w:val="es-ES"/>
        </w:rPr>
      </w:pPr>
      <w:r>
        <w:rPr>
          <w:rStyle w:val="Ninguno"/>
          <w:rFonts w:eastAsia="Yu Gothic" w:cs="Yu Gothic" w:ascii="Yu Gothic" w:hAnsi="Yu Gothic"/>
          <w:b/>
          <w:bCs/>
          <w:i w:val="false"/>
          <w:iCs w:val="false"/>
          <w:sz w:val="22"/>
          <w:szCs w:val="22"/>
          <w:lang w:val="es-ES"/>
        </w:rPr>
        <w:t>CCFF: Administración de sistemas informaticos en red</w:t>
      </w:r>
    </w:p>
    <w:p>
      <w:pPr>
        <w:pStyle w:val="Normal"/>
        <w:widowControl w:val="false"/>
        <w:bidi w:val="0"/>
        <w:spacing w:lineRule="auto" w:line="240" w:before="0" w:after="0"/>
        <w:ind w:hanging="0" w:end="580"/>
        <w:jc w:val="end"/>
        <w:rPr>
          <w:rFonts w:ascii="Yu Gothic" w:hAnsi="Yu Gothic" w:eastAsia="Yu Gothic" w:cs="Yu Gothic"/>
          <w:b w:val="false"/>
          <w:bCs w:val="false"/>
          <w:i w:val="false"/>
          <w:iCs w:val="false"/>
          <w:color w:val="0000FF"/>
          <w:sz w:val="22"/>
          <w:szCs w:val="22"/>
          <w:lang w:val="es-ES"/>
        </w:rPr>
      </w:pPr>
      <w:r>
        <w:rPr>
          <w:rStyle w:val="Ninguno"/>
          <w:rFonts w:eastAsia="Yu Gothic" w:cs="Yu Gothic" w:ascii="Yu Gothic" w:hAnsi="Yu Gothic"/>
          <w:b/>
          <w:bCs/>
          <w:i w:val="false"/>
          <w:iCs w:val="false"/>
          <w:color w:themeColor="text1" w:val="000000"/>
          <w:sz w:val="22"/>
          <w:szCs w:val="22"/>
          <w:lang w:val="es-ES"/>
        </w:rPr>
        <w:t>CÓDIGO DEL PROYECTO: IF_ASIR_02_NHL</w:t>
      </w:r>
    </w:p>
    <w:p>
      <w:pPr>
        <w:pStyle w:val="Normal"/>
        <w:widowControl w:val="false"/>
        <w:bidi w:val="0"/>
        <w:spacing w:lineRule="auto" w:line="240" w:before="0" w:after="0"/>
        <w:ind w:hanging="0" w:end="580"/>
        <w:jc w:val="end"/>
        <w:rPr>
          <w:rFonts w:ascii="Yu Gothic" w:hAnsi="Yu Gothic" w:eastAsia="Yu Gothic" w:cs="Yu Gothic"/>
          <w:b w:val="false"/>
          <w:bCs w:val="false"/>
          <w:i w:val="false"/>
          <w:iCs w:val="false"/>
          <w:color w:val="0000FF"/>
          <w:sz w:val="22"/>
          <w:szCs w:val="22"/>
          <w:lang w:val="es-ES"/>
        </w:rPr>
      </w:pPr>
      <w:r>
        <w:rPr>
          <w:rStyle w:val="Ninguno"/>
          <w:rFonts w:eastAsia="Yu Gothic" w:cs="Yu Gothic" w:ascii="Yu Gothic" w:hAnsi="Yu Gothic"/>
          <w:b/>
          <w:bCs/>
          <w:i w:val="false"/>
          <w:iCs w:val="false"/>
          <w:color w:themeColor="text1" w:val="000000"/>
          <w:sz w:val="22"/>
          <w:szCs w:val="22"/>
          <w:lang w:val="es-ES"/>
        </w:rPr>
        <w:t>FECHA DE ENTREGA</w:t>
      </w:r>
      <w:r>
        <w:rPr>
          <w:rStyle w:val="Ninguno"/>
          <w:rFonts w:eastAsia="Yu Gothic" w:cs="Yu Gothic" w:ascii="Yu Gothic" w:hAnsi="Yu Gothic"/>
          <w:b w:val="false"/>
          <w:bCs w:val="false"/>
          <w:i w:val="false"/>
          <w:iCs w:val="false"/>
          <w:color w:themeColor="text1" w:val="000000"/>
          <w:sz w:val="22"/>
          <w:szCs w:val="22"/>
          <w:lang w:val="es-ES"/>
        </w:rPr>
        <w:t>: 22-09-2026</w:t>
      </w:r>
    </w:p>
    <w:p>
      <w:pPr>
        <w:pStyle w:val="Normal"/>
        <w:widowControl w:val="false"/>
        <w:bidi w:val="0"/>
        <w:spacing w:lineRule="auto" w:line="240" w:before="0" w:after="0"/>
        <w:ind w:hanging="0" w:end="580"/>
        <w:jc w:val="end"/>
        <w:rPr>
          <w:rFonts w:ascii="Yu Gothic" w:hAnsi="Yu Gothic" w:eastAsia="Yu Gothic" w:cs="Yu Gothic"/>
          <w:b w:val="false"/>
          <w:bCs w:val="false"/>
          <w:i w:val="false"/>
          <w:iCs w:val="false"/>
          <w:color w:val="0000FF"/>
          <w:sz w:val="22"/>
          <w:szCs w:val="22"/>
          <w:lang w:val="es-ES"/>
        </w:rPr>
      </w:pPr>
      <w:r>
        <w:rPr>
          <w:rFonts w:eastAsia="Yu Gothic" w:cs="Yu Gothic" w:ascii="Yu Gothic" w:hAnsi="Yu Gothic"/>
          <w:b w:val="false"/>
          <w:bCs w:val="false"/>
          <w:i w:val="false"/>
          <w:iCs w:val="false"/>
          <w:color w:val="0000FF"/>
          <w:sz w:val="22"/>
          <w:szCs w:val="22"/>
          <w:lang w:val="es-ES"/>
        </w:rPr>
      </w:r>
    </w:p>
    <w:p>
      <w:pPr>
        <w:pStyle w:val="Normal"/>
        <w:rPr/>
      </w:pPr>
      <w:r>
        <w:rPr/>
      </w:r>
      <w:r>
        <w:br w:type="page"/>
      </w:r>
    </w:p>
    <w:p>
      <w:pPr>
        <w:pStyle w:val="Normal"/>
        <w:spacing w:before="0" w:after="80"/>
        <w:rPr/>
      </w:pPr>
      <w:r>
        <w:rPr>
          <w:b/>
          <w:color w:val="00C489"/>
          <w:sz w:val="18"/>
        </w:rPr>
        <w:t>PROYECTO INTERMODULAR · ASIR</w:t>
      </w:r>
    </w:p>
    <w:p>
      <w:pPr>
        <w:pStyle w:val="Normal"/>
        <w:spacing w:before="240" w:after="120"/>
        <w:rPr/>
      </w:pPr>
      <w:r>
        <w:rPr>
          <w:b/>
          <w:color w:val="00C489"/>
          <w:sz w:val="40"/>
        </w:rPr>
        <w:t>1. INTRODUCCIÓN</w:t>
      </w:r>
    </w:p>
    <w:p>
      <w:pPr>
        <w:pStyle w:val="Normal"/>
        <w:spacing w:lineRule="auto" w:line="276" w:before="0" w:after="160"/>
        <w:rPr/>
      </w:pPr>
      <w:r>
        <w:rPr>
          <w:b w:val="false"/>
          <w:color w:val="243047"/>
          <w:sz w:val="22"/>
        </w:rPr>
        <w:t>En la actualidad, la informática y las tecnologías de la información y la comunicación (TIC) desempeñan un papel fundamental en el funcionamiento de las empresas. La mayoría de las organizaciones dependen de sus sistemas informáticos para gestionar información, realizar operaciones diarias, comunicarse con sus clientes y mantener su actividad empresarial. Por este motivo, la pérdida de datos o la interrupción de los servicios informáticos puede ocasionar importantes consecuencias económicas y operativas.</w:t>
      </w:r>
    </w:p>
    <w:p>
      <w:pPr>
        <w:pStyle w:val="Normal"/>
        <w:spacing w:lineRule="auto" w:line="276" w:before="0" w:after="160"/>
        <w:rPr/>
      </w:pPr>
      <w:r>
        <w:rPr>
          <w:b w:val="false"/>
          <w:color w:val="243047"/>
          <w:sz w:val="22"/>
        </w:rPr>
        <w:t>Ante esta situación, surge DataSafe Recovery (DSR), un proyecto empresarial orientado a ofrecer soluciones de protección de datos, copias de seguridad, continuidad de negocio y recuperación ante desastres informáticos. La empresa se dirige principalmente a pequeñas y medianas empresas (PYMES) de la provincia de Valencia que necesitan garantizar la disponibilidad, integridad y recuperación de su información.</w:t>
      </w:r>
    </w:p>
    <w:p>
      <w:pPr>
        <w:pStyle w:val="Normal"/>
        <w:spacing w:lineRule="auto" w:line="276" w:before="0" w:after="160"/>
        <w:rPr/>
      </w:pPr>
      <w:r>
        <w:rPr>
          <w:b w:val="false"/>
          <w:color w:val="243047"/>
          <w:sz w:val="22"/>
        </w:rPr>
        <w:t>El proyecto contempla el desarrollo de una infraestructura tecnológica que permita automatizar las copias de seguridad, gestionar réplicas de datos, monitorizar los sistemas y disponer de un entorno de recuperación ante posibles incidencias, como fallos de hardware, errores humanos, cortes de suministro o ciberataques. Asimismo, se plantea la definición de procedimientos de recuperación que permitan reducir el tiempo de inactividad y limitar la pérdida de información.</w:t>
      </w:r>
    </w:p>
    <w:p>
      <w:pPr>
        <w:pStyle w:val="Normal"/>
        <w:spacing w:lineRule="auto" w:line="276" w:before="0" w:after="160"/>
        <w:rPr/>
      </w:pPr>
      <w:r>
        <w:rPr>
          <w:b w:val="false"/>
          <w:color w:val="243047"/>
          <w:sz w:val="22"/>
        </w:rPr>
        <w:t>Desde el punto de vista técnico, DataSafe Recovery se relaciona directamente con los conocimientos adquiridos en el ciclo formativo de Administración de Sistemas Informáticos en Red (ASIR), especialmente en las áreas de administración de sistemas, redes, virtualización, almacenamiento, seguridad informática y automatización de tareas.</w:t>
      </w:r>
    </w:p>
    <w:p>
      <w:pPr>
        <w:pStyle w:val="Normal"/>
        <w:spacing w:lineRule="auto" w:line="276" w:before="0" w:after="160"/>
        <w:rPr/>
      </w:pPr>
      <w:r>
        <w:rPr>
          <w:b w:val="false"/>
          <w:color w:val="243047"/>
          <w:sz w:val="22"/>
        </w:rPr>
        <w:t>Por tanto, este proyecto tiene como finalidad diseñar una propuesta tecnológica y empresarial viable que contribuya a mejorar la seguridad y la continuidad de los servicios informáticos de las empresas, ofreciendo una solución especializada, cercana y adaptada a las necesidades del tejido empresarial valenciano.</w:t>
      </w:r>
    </w:p>
    <w:p>
      <w:pPr>
        <w:pStyle w:val="Normal"/>
        <w:spacing w:before="240" w:after="120"/>
        <w:rPr/>
      </w:pPr>
      <w:r>
        <w:rPr>
          <w:b/>
          <w:color w:val="00C489"/>
          <w:sz w:val="40"/>
        </w:rPr>
        <w:t>2. JUSTIFICACIÓN DEL PROYECTO</w:t>
      </w:r>
    </w:p>
    <w:p>
      <w:pPr>
        <w:pStyle w:val="Normal"/>
        <w:spacing w:lineRule="auto" w:line="276" w:before="0" w:after="160"/>
        <w:rPr/>
      </w:pPr>
      <w:r>
        <w:rPr>
          <w:b w:val="false"/>
          <w:color w:val="243047"/>
          <w:sz w:val="22"/>
        </w:rPr>
        <w:t>La elección de DataSafe Recovery se fundamenta en la creciente dependencia de las empresas respecto a sus sistemas informáticos y en la necesidad de proteger la información que utilizan para desarrollar su actividad. Una interrupción tecnológica, una avería o un incidente de seguridad puede provocar pérdidas económicas, retrasos en los servicios, pérdida de confianza por parte de los clientes e incluso la paralización temporal de una organización.</w:t>
      </w:r>
    </w:p>
    <w:p>
      <w:pPr>
        <w:pStyle w:val="Normal"/>
        <w:spacing w:lineRule="auto" w:line="276" w:before="0" w:after="160"/>
        <w:rPr/>
      </w:pPr>
      <w:r>
        <w:rPr>
          <w:b w:val="false"/>
          <w:color w:val="243047"/>
          <w:sz w:val="22"/>
        </w:rPr>
        <w:t>Aunque las grandes empresas suelen disponer de recursos específicos para garantizar la seguridad y recuperación de sus sistemas, algunas pequeñas y medianas empresas pueden encontrar dificultades para implantar soluciones completas de copias de seguridad y recuperación ante desastres. Esta situación representa una oportunidad para ofrecer servicios tecnológicos especializados, adaptados a sus recursos y necesidades.</w:t>
      </w:r>
    </w:p>
    <w:p>
      <w:pPr>
        <w:pStyle w:val="Normal"/>
        <w:spacing w:lineRule="auto" w:line="276" w:before="0" w:after="160"/>
        <w:rPr/>
      </w:pPr>
      <w:r>
        <w:rPr>
          <w:b w:val="false"/>
          <w:color w:val="243047"/>
          <w:sz w:val="22"/>
        </w:rPr>
        <w:t>DataSafe Recovery pretende responder a esta necesidad mediante una solución que combine copias de seguridad automatizadas, replicación de datos, monitorización continua, infraestructura de recuperación y elaboración de planes de continuidad de negocio. También se contempla la realización de pruebas periódicas de restauración para comprobar que los datos pueden recuperarse correctamente cuando sea necesario.</w:t>
      </w:r>
    </w:p>
    <w:p>
      <w:pPr>
        <w:pStyle w:val="Normal"/>
        <w:spacing w:lineRule="auto" w:line="276" w:before="0" w:after="160"/>
        <w:rPr/>
      </w:pPr>
      <w:r>
        <w:rPr>
          <w:b w:val="false"/>
          <w:color w:val="243047"/>
          <w:sz w:val="22"/>
        </w:rPr>
        <w:t>Otro aspecto importante del proyecto es la posibilidad de establecer objetivos de recuperación definidos. Para ello, se consideran dos conceptos fundamentales: el RPO (Recovery Point Objective), que establece la cantidad máxima de información que una organización puede permitirse perder, medida en tiempo, y el RTO (Recovery Time Objective), que determina el tiempo objetivo para recuperar un servicio después de una interrupción. La definición de estos parámetros permite adaptar las soluciones a las necesidades de cada cliente.</w:t>
      </w:r>
    </w:p>
    <w:p>
      <w:pPr>
        <w:pStyle w:val="Normal"/>
        <w:spacing w:lineRule="auto" w:line="276" w:before="0" w:after="160"/>
        <w:rPr/>
      </w:pPr>
      <w:r>
        <w:rPr>
          <w:b w:val="false"/>
          <w:color w:val="243047"/>
          <w:sz w:val="22"/>
        </w:rPr>
        <w:t>Desde el punto de vista académico, el proyecto permite aplicar de manera práctica los conocimientos adquiridos durante el ciclo formativo de ASIR, integrando diferentes áreas técnicas en una propuesta común. Además, facilita el desarrollo de competencias relacionadas con la planificación de infraestructuras, la resolución de problemas, la gestión de la seguridad, la documentación técnica y la evaluación de necesidades empresariales.</w:t>
      </w:r>
    </w:p>
    <w:p>
      <w:pPr>
        <w:pStyle w:val="Normal"/>
        <w:spacing w:lineRule="auto" w:line="276" w:before="0" w:after="160"/>
        <w:rPr/>
      </w:pPr>
      <w:r>
        <w:rPr>
          <w:b w:val="false"/>
          <w:color w:val="243047"/>
          <w:sz w:val="22"/>
        </w:rPr>
        <w:t>Por último, DataSafe Recovery también considera la responsabilidad social y medioambiental mediante la optimización de los recursos tecnológicos, la gestión eficiente del almacenamiento y la reutilización o el reciclaje responsable de equipos cuando sea posible. Estas medidas se relacionan con los Objetivos de Desarrollo Sostenible de la Agenda 2030, especialmente con el ODS 9 (Industria, innovación e infraestructura), el ODS 8 (Trabajo decente y crecimiento económico) y el ODS 12 (Producción y consumo responsables).</w:t>
      </w:r>
    </w:p>
    <w:p>
      <w:pPr>
        <w:pStyle w:val="Normal"/>
        <w:spacing w:lineRule="auto" w:line="276" w:before="0" w:after="160"/>
        <w:rPr/>
      </w:pPr>
      <w:r>
        <w:rPr>
          <w:b w:val="false"/>
          <w:color w:val="243047"/>
          <w:sz w:val="22"/>
        </w:rPr>
        <w:t>En conclusión, la justificación de este proyecto reside en la necesidad de mejorar la protección de los datos y la continuidad operativa de las PYMES, al mismo tiempo que se desarrolla una propuesta empresarial relacionada con las competencias profesionales del ciclo de ASIR. DataSafe Recovery busca demostrar que una planificación adecuada de las copias de seguridad y de los procedimientos de recuperación puede contribuir a reducir riesgos y aumentar la resiliencia tecnológica de las organizaciones.</w:t>
      </w:r>
    </w:p>
    <w:p>
      <w:pPr>
        <w:pStyle w:val="Normal"/>
        <w:rPr/>
      </w:pPr>
      <w:r>
        <w:rPr/>
      </w:r>
      <w:r>
        <w:br w:type="page"/>
      </w:r>
    </w:p>
    <w:p>
      <w:pPr>
        <w:pStyle w:val="Normal"/>
        <w:spacing w:before="0" w:after="0"/>
        <w:rPr/>
      </w:pPr>
      <w:r>
        <w:rPr>
          <w:b/>
          <w:color w:val="00C489"/>
          <w:sz w:val="18"/>
        </w:rPr>
        <w:t>RESTO DEL DOCUMENTO</w:t>
      </w:r>
    </w:p>
    <w:p>
      <w:pPr>
        <w:pStyle w:val="Normal"/>
        <w:spacing w:before="240" w:after="120"/>
        <w:rPr/>
      </w:pPr>
      <w:r>
        <w:rPr>
          <w:b/>
          <w:color w:val="00C489"/>
          <w:sz w:val="40"/>
        </w:rPr>
        <w:t>3. OBJETIVOS DEL PROYECTO</w:t>
      </w:r>
    </w:p>
    <w:p>
      <w:pPr>
        <w:pStyle w:val="Normal"/>
        <w:spacing w:before="140" w:after="120"/>
        <w:rPr/>
      </w:pPr>
      <w:r>
        <w:rPr>
          <w:b/>
          <w:color w:val="19BEFF"/>
          <w:sz w:val="28"/>
        </w:rPr>
        <w:t>3.1. Objetivo general</w:t>
      </w:r>
    </w:p>
    <w:p>
      <w:pPr>
        <w:pStyle w:val="Normal"/>
        <w:spacing w:before="140" w:after="120"/>
        <w:rPr/>
      </w:pPr>
      <w:r>
        <w:rPr>
          <w:b/>
          <w:color w:val="19BEFF"/>
          <w:sz w:val="28"/>
        </w:rPr>
        <w:t>3.2. Objetivos específicos</w:t>
      </w:r>
    </w:p>
    <w:p>
      <w:pPr>
        <w:pStyle w:val="Normal"/>
        <w:spacing w:before="240" w:after="120"/>
        <w:rPr/>
      </w:pPr>
      <w:r>
        <w:rPr>
          <w:b/>
          <w:color w:val="00C489"/>
          <w:sz w:val="40"/>
        </w:rPr>
        <w:t>4. PRESENTACIÓN DE LA EMPRESA</w:t>
      </w:r>
    </w:p>
    <w:p>
      <w:pPr>
        <w:pStyle w:val="Normal"/>
        <w:spacing w:before="140" w:after="120"/>
        <w:rPr/>
      </w:pPr>
      <w:r>
        <w:rPr>
          <w:b/>
          <w:color w:val="19BEFF"/>
          <w:sz w:val="28"/>
        </w:rPr>
        <w:t>4.1. Nombre comercial</w:t>
      </w:r>
    </w:p>
    <w:p>
      <w:pPr>
        <w:pStyle w:val="Normal"/>
        <w:spacing w:before="140" w:after="120"/>
        <w:rPr/>
      </w:pPr>
      <w:r>
        <w:rPr>
          <w:b/>
          <w:color w:val="19BEFF"/>
          <w:sz w:val="28"/>
        </w:rPr>
        <w:t>4.2. Actividad de la empresa</w:t>
      </w:r>
    </w:p>
    <w:p>
      <w:pPr>
        <w:pStyle w:val="Normal"/>
        <w:spacing w:before="140" w:after="120"/>
        <w:rPr/>
      </w:pPr>
      <w:r>
        <w:rPr>
          <w:b/>
          <w:color w:val="19BEFF"/>
          <w:sz w:val="28"/>
        </w:rPr>
        <w:t>4.3. Servicios principales</w:t>
      </w:r>
    </w:p>
    <w:p>
      <w:pPr>
        <w:pStyle w:val="Normal"/>
        <w:spacing w:before="140" w:after="120"/>
        <w:rPr/>
      </w:pPr>
      <w:r>
        <w:rPr>
          <w:b/>
          <w:color w:val="19BEFF"/>
          <w:sz w:val="28"/>
        </w:rPr>
        <w:t>4.4. Público objetivo</w:t>
      </w:r>
    </w:p>
    <w:p>
      <w:pPr>
        <w:pStyle w:val="Normal"/>
        <w:spacing w:before="140" w:after="120"/>
        <w:rPr/>
      </w:pPr>
      <w:r>
        <w:rPr>
          <w:b/>
          <w:color w:val="19BEFF"/>
          <w:sz w:val="28"/>
        </w:rPr>
        <w:t>4.5. Propuesta de valor</w:t>
      </w:r>
    </w:p>
    <w:p>
      <w:pPr>
        <w:pStyle w:val="Normal"/>
        <w:spacing w:before="140" w:after="120"/>
        <w:rPr/>
      </w:pPr>
      <w:r>
        <w:rPr>
          <w:b/>
          <w:color w:val="19BEFF"/>
          <w:sz w:val="28"/>
        </w:rPr>
        <w:t>4.6. Eslogan o claim</w:t>
      </w:r>
    </w:p>
    <w:p>
      <w:pPr>
        <w:pStyle w:val="Normal"/>
        <w:spacing w:before="240" w:after="120"/>
        <w:rPr/>
      </w:pPr>
      <w:r>
        <w:rPr>
          <w:b/>
          <w:color w:val="00C489"/>
          <w:sz w:val="40"/>
        </w:rPr>
        <w:t>5. CULTURA CORPORATIVA</w:t>
      </w:r>
    </w:p>
    <w:p>
      <w:pPr>
        <w:pStyle w:val="Normal"/>
        <w:spacing w:before="140" w:after="120"/>
        <w:rPr/>
      </w:pPr>
      <w:r>
        <w:rPr>
          <w:b/>
          <w:color w:val="19BEFF"/>
          <w:sz w:val="28"/>
        </w:rPr>
        <w:t>5.1. Misión</w:t>
      </w:r>
    </w:p>
    <w:p>
      <w:pPr>
        <w:pStyle w:val="Normal"/>
        <w:spacing w:before="140" w:after="120"/>
        <w:rPr/>
      </w:pPr>
      <w:r>
        <w:rPr>
          <w:b/>
          <w:color w:val="19BEFF"/>
          <w:sz w:val="28"/>
        </w:rPr>
        <w:t>5.2. Visión</w:t>
      </w:r>
    </w:p>
    <w:p>
      <w:pPr>
        <w:pStyle w:val="Normal"/>
        <w:spacing w:before="140" w:after="120"/>
        <w:rPr/>
      </w:pPr>
      <w:r>
        <w:rPr>
          <w:b/>
          <w:color w:val="19BEFF"/>
          <w:sz w:val="28"/>
        </w:rPr>
        <w:t>5.3. Valores corporativos</w:t>
      </w:r>
    </w:p>
    <w:p>
      <w:pPr>
        <w:pStyle w:val="Normal"/>
        <w:spacing w:before="240" w:after="120"/>
        <w:rPr/>
      </w:pPr>
      <w:r>
        <w:rPr>
          <w:b/>
          <w:color w:val="00C489"/>
          <w:sz w:val="40"/>
        </w:rPr>
        <w:t>6. ODS Y AGENDA 2030</w:t>
      </w:r>
    </w:p>
    <w:p>
      <w:pPr>
        <w:pStyle w:val="Normal"/>
        <w:spacing w:before="140" w:after="120"/>
        <w:rPr/>
      </w:pPr>
      <w:r>
        <w:rPr>
          <w:b/>
          <w:color w:val="19BEFF"/>
          <w:sz w:val="28"/>
        </w:rPr>
        <w:t>6.1. ODS 8 · Trabajo decente y crecimiento económico</w:t>
      </w:r>
    </w:p>
    <w:p>
      <w:pPr>
        <w:pStyle w:val="Normal"/>
        <w:spacing w:before="140" w:after="120"/>
        <w:rPr/>
      </w:pPr>
      <w:r>
        <w:rPr>
          <w:b/>
          <w:color w:val="19BEFF"/>
          <w:sz w:val="28"/>
        </w:rPr>
        <w:t>6.2. ODS 9 · Industria, innovación e infraestructura</w:t>
      </w:r>
    </w:p>
    <w:p>
      <w:pPr>
        <w:pStyle w:val="Normal"/>
        <w:spacing w:before="140" w:after="120"/>
        <w:rPr/>
      </w:pPr>
      <w:r>
        <w:rPr>
          <w:b/>
          <w:color w:val="19BEFF"/>
          <w:sz w:val="28"/>
        </w:rPr>
        <w:t>6.3. ODS 12 · Producción y consumo responsables</w:t>
      </w:r>
    </w:p>
    <w:p>
      <w:pPr>
        <w:pStyle w:val="Normal"/>
        <w:spacing w:before="140" w:after="120"/>
        <w:rPr/>
      </w:pPr>
      <w:r>
        <w:rPr>
          <w:b/>
          <w:color w:val="19BEFF"/>
          <w:sz w:val="28"/>
        </w:rPr>
        <w:t>6.4. ODS 13 · Acción por el clima</w:t>
      </w:r>
    </w:p>
    <w:p>
      <w:pPr>
        <w:pStyle w:val="Normal"/>
        <w:spacing w:before="240" w:after="120"/>
        <w:rPr/>
      </w:pPr>
      <w:r>
        <w:rPr>
          <w:b/>
          <w:color w:val="00C489"/>
          <w:sz w:val="40"/>
        </w:rPr>
        <w:t>7. IDENTIDAD VISUAL CORPORATIVA</w:t>
      </w:r>
    </w:p>
    <w:p>
      <w:pPr>
        <w:pStyle w:val="Normal"/>
        <w:spacing w:before="140" w:after="120"/>
        <w:rPr/>
      </w:pPr>
      <w:r>
        <w:rPr>
          <w:b/>
          <w:color w:val="19BEFF"/>
          <w:sz w:val="28"/>
        </w:rPr>
        <w:t>7.1. Logotipo</w:t>
      </w:r>
    </w:p>
    <w:p>
      <w:pPr>
        <w:pStyle w:val="Normal"/>
        <w:spacing w:before="140" w:after="120"/>
        <w:rPr/>
      </w:pPr>
      <w:r>
        <w:rPr>
          <w:b/>
          <w:color w:val="19BEFF"/>
          <w:sz w:val="28"/>
        </w:rPr>
        <w:t>7.2. Imagotipo</w:t>
      </w:r>
    </w:p>
    <w:p>
      <w:pPr>
        <w:pStyle w:val="Normal"/>
        <w:spacing w:before="140" w:after="120"/>
        <w:rPr/>
      </w:pPr>
      <w:r>
        <w:rPr>
          <w:b/>
          <w:color w:val="19BEFF"/>
          <w:sz w:val="28"/>
        </w:rPr>
        <w:t>7.3. Gama cromática corporativa</w:t>
      </w:r>
    </w:p>
    <w:p>
      <w:pPr>
        <w:pStyle w:val="Normal"/>
        <w:spacing w:before="140" w:after="120"/>
        <w:rPr/>
      </w:pPr>
      <w:r>
        <w:rPr>
          <w:b/>
          <w:color w:val="19BEFF"/>
          <w:sz w:val="28"/>
        </w:rPr>
        <w:t>7.4. Tipografías corporativas</w:t>
      </w:r>
    </w:p>
    <w:p>
      <w:pPr>
        <w:pStyle w:val="Normal"/>
        <w:spacing w:before="140" w:after="120"/>
        <w:rPr/>
      </w:pPr>
      <w:r>
        <w:rPr>
          <w:b/>
          <w:color w:val="19BEFF"/>
          <w:sz w:val="28"/>
        </w:rPr>
        <w:t>7.5. Usos autorizados e incorrectos</w:t>
      </w:r>
    </w:p>
    <w:p>
      <w:pPr>
        <w:pStyle w:val="Normal"/>
        <w:spacing w:before="240" w:after="120"/>
        <w:rPr/>
      </w:pPr>
      <w:r>
        <w:rPr>
          <w:b/>
          <w:color w:val="00C489"/>
          <w:sz w:val="40"/>
        </w:rPr>
        <w:t>8. CONCLUSIONES</w:t>
      </w:r>
    </w:p>
    <w:p>
      <w:pPr>
        <w:pStyle w:val="Normal"/>
        <w:spacing w:before="240" w:after="120"/>
        <w:rPr/>
      </w:pPr>
      <w:r>
        <w:rPr>
          <w:b/>
          <w:color w:val="00C489"/>
          <w:sz w:val="40"/>
        </w:rPr>
        <w:t>9. BIBLIOGRAFÍA Y WEBGRAFÍA</w:t>
      </w:r>
    </w:p>
    <w:p>
      <w:r>
        <w:br w:type="page"/>
      </w:r>
    </w:p>
    <w:p>
      <w:pPr>
        <w:jc w:val="center"/>
      </w:pPr>
      <w:r>
        <w:rPr>
          <w:b/>
          <w:sz w:val="32"/>
        </w:rPr>
        <w:t>10. MEMORIA DE RESPONSABILIDAD SOCIAL EMPRESARIAL (RSE) Y ODS</w:t>
      </w:r>
    </w:p>
    <w:p>
      <w:pPr>
        <w:jc w:val="center"/>
      </w:pPr>
      <w:r>
        <w:rPr>
          <w:b/>
          <w:sz w:val="26"/>
        </w:rPr>
        <w:t>DataSafe Recovery (DSR)</w:t>
      </w:r>
    </w:p>
    <w:p>
      <w:pPr>
        <w:spacing w:before="200"/>
      </w:pPr>
      <w:r>
        <w:rPr>
          <w:b/>
          <w:sz w:val="26"/>
        </w:rPr>
        <w:t>10.1. Introducción de la empresa</w:t>
      </w:r>
    </w:p>
    <w:p>
      <w:r>
        <w:t>DataSafe Recovery (DSR) es un proyecto empresarial orientado a ofrecer soluciones de protección de datos, copias de seguridad, continuidad de negocio y recuperación ante desastres informáticos para pequeñas y medianas empresas de la provincia de Valencia. Su actividad se apoya en una infraestructura capaz de automatizar copias de seguridad, gestionar réplicas, monitorizar sistemas y facilitar la recuperación de la información.</w:t>
      </w:r>
    </w:p>
    <w:p>
      <w:r>
        <w:t>La responsabilidad social y medioambiental complementa esta actividad. DSR procurará prestar servicios seguros y fiables, reducir el consumo de recursos tecnológicos, prolongar la vida útil de los equipos y gestionar correctamente los residuos electrónicos. Las medidas e indicadores descritos son objetivos de planificación que deberán verificarse con mediciones y registros reales.</w:t>
      </w:r>
    </w:p>
    <w:p>
      <w:pPr>
        <w:spacing w:before="200"/>
      </w:pPr>
      <w:r>
        <w:rPr>
          <w:b/>
          <w:sz w:val="26"/>
        </w:rPr>
        <w:t>10.2. Estrategia ESG</w:t>
      </w:r>
    </w:p>
    <w:p>
      <w:pPr>
        <w:spacing w:before="120"/>
      </w:pPr>
      <w:r>
        <w:rPr>
          <w:b/>
          <w:sz w:val="22"/>
        </w:rPr>
        <w:t>Ambiental (E)</w:t>
      </w:r>
    </w:p>
    <w:p>
      <w:r>
        <w:t>DSR priorizará la virtualización y consolidación de servidores, la monitorización del consumo eléctrico, la limpieza de recursos digitales sin uso y la contratación de electricidad renovable cuando sea viable. También establecerá procedimientos para reutilizar equipos y gestionar los residuos de aparatos eléctricos y electrónicos (RAEE).</w:t>
      </w:r>
    </w:p>
    <w:p>
      <w:pPr>
        <w:spacing w:before="120"/>
      </w:pPr>
      <w:r>
        <w:rPr>
          <w:b/>
          <w:sz w:val="22"/>
        </w:rPr>
        <w:t>Social (S)</w:t>
      </w:r>
    </w:p>
    <w:p>
      <w:r>
        <w:t>La empresa promoverá la formación continua en administración de sistemas, ciberseguridad, protección de datos y buenas prácticas ambientales. Se fomentarán la igualdad de oportunidades, un entorno de trabajo seguro y una comunicación clara con los clientes sobre las condiciones y objetivos de recuperación.</w:t>
      </w:r>
    </w:p>
    <w:p>
      <w:pPr>
        <w:spacing w:before="120"/>
      </w:pPr>
      <w:r>
        <w:rPr>
          <w:b/>
          <w:sz w:val="22"/>
        </w:rPr>
        <w:t>Gobernanza (G)</w:t>
      </w:r>
    </w:p>
    <w:p>
      <w:r>
        <w:t>DSR documentará sus procedimientos, limitará los accesos según las funciones de cada persona y conservará evidencias de copias, restauraciones, incidencias y auditorías. El tratamiento de datos personales deberá cumplir la normativa aplicable, incluido el RGPD. Las decisiones sobre proveedores, borrado de soportes y gestión de residuos quedarán registradas.</w:t>
      </w:r>
    </w:p>
    <w:p>
      <w:pPr>
        <w:spacing w:before="200"/>
      </w:pPr>
      <w:r>
        <w:rPr>
          <w:b/>
          <w:sz w:val="26"/>
        </w:rPr>
        <w:t>10.3. ODS 7. Energía asequible y no contaminante</w:t>
      </w:r>
    </w:p>
    <w:p>
      <w:r>
        <w:t>DSR relaciona el ODS 7 con la reducción de la energía necesaria para prestar sus servicios. La consolidación de máquinas virtuales permite aprovechar mejor los servidores físicos y evitar equipos infrautilizados. La automatización y la monitorización ayudan a ajustar recursos a la demanda y detectar consumos anómalos. La contratación de electricidad renovable puede reducir las emisiones asociadas al suministro.</w:t>
      </w:r>
    </w:p>
    <w:p>
      <w:r>
        <w:t>Cuando se disponga de datos del centro de datos, se tendrá en cuenta el indicador PUE (Power Usage Effectiveness), que relaciona la energía total consumida por el centro con la energía utilizada por los equipos informáticos.</w:t>
      </w:r>
    </w:p>
    <w:p>
      <w:pPr>
        <w:jc w:val="center"/>
      </w:pPr>
      <w:r>
        <w:rPr>
          <w:b/>
        </w:rPr>
        <w:t>PUE = Energía total del centro de datos / Energía consumida por los equipos IT</w:t>
      </w:r>
    </w:p>
    <w:p>
      <w:r>
        <w:t>Un PUE más próximo a 1 indica que una menor proporción de energía se destina a refrigeración, alimentación y otros servicios auxiliares. Si DSR utiliza un centro de datos externo, solicitará los datos disponibles y diferenciará las mediciones de las estimaciones.</w:t>
      </w:r>
    </w:p>
    <w:p>
      <w:pPr>
        <w:spacing w:before="120"/>
      </w:pPr>
      <w:r>
        <w:rPr>
          <w:b/>
          <w:sz w:val="22"/>
        </w:rPr>
        <w:t>Plan de mejora energética</w:t>
      </w:r>
    </w:p>
    <w:p>
      <w:r>
        <w:t>• Inventariar servidores, almacenamiento y equipos de red, registrando su consumo cuando sea posible.</w:t>
      </w:r>
    </w:p>
    <w:p>
      <w:r>
        <w:t>• Revisar trimestralmente la utilización de CPU, memoria y almacenamiento para detectar equipos infrautilizados.</w:t>
      </w:r>
    </w:p>
    <w:p>
      <w:r>
        <w:t>• Consolidar cargas compatibles mediante virtualización sin comprometer la seguridad ni la disponibilidad.</w:t>
      </w:r>
    </w:p>
    <w:p>
      <w:r>
        <w:t>• Automatizar tareas repetitivas y ajustar los recursos a las necesidades reales del servicio.</w:t>
      </w:r>
    </w:p>
    <w:p>
      <w:r>
        <w:t>• Eliminar máquinas virtuales y recursos sin uso solo después de comprobar que no contienen información necesaria.</w:t>
      </w:r>
    </w:p>
    <w:p>
      <w:r>
        <w:t>• Revisar anualmente el consumo y valorar proveedores que aporten datos verificables sobre eficiencia y energía renovable.</w:t>
      </w:r>
    </w:p>
    <w:tbl>
      <w:tblPr>
        <w:tblW w:type="auto" w:w="0"/>
        <w:tblLook w:firstColumn="1" w:firstRow="1" w:lastColumn="0" w:lastRow="0" w:noHBand="0" w:noVBand="1" w:val="04A0"/>
      </w:tblPr>
      <w:tblGrid>
        <w:gridCol w:w="3213"/>
        <w:gridCol w:w="3213"/>
        <w:gridCol w:w="3213"/>
      </w:tblGrid>
      <w:tr>
        <w:tc>
          <w:tcPr>
            <w:tcW w:type="dxa" w:w="3213"/>
          </w:tcPr>
          <w:p/>
        </w:tc>
        <w:tc>
          <w:tcPr>
            <w:tcW w:type="dxa" w:w="3213"/>
          </w:tcPr>
          <w:p/>
        </w:tc>
        <w:tc>
          <w:tcPr>
            <w:tcW w:type="dxa" w:w="3213"/>
          </w:tcPr>
          <w:p/>
        </w:tc>
      </w:tr>
    </w:tbl>
    <w:tbl>
      <w:tblPr>
        <w:tblW w:type="auto" w:w="0"/>
        <w:tblLook w:firstColumn="1" w:firstRow="1" w:lastColumn="0" w:lastRow="0" w:noHBand="0" w:noVBand="1" w:val="04A0"/>
      </w:tblPr>
      <w:tblGrid>
        <w:gridCol w:w="3213"/>
        <w:gridCol w:w="3213"/>
        <w:gridCol w:w="3213"/>
      </w:tblGrid>
      <w:tr>
        <w:tc>
          <w:tcPr>
            <w:tcW w:type="dxa" w:w="3213"/>
          </w:tcPr>
          <w:p>
            <w:r>
              <w:t>Indicador</w:t>
            </w:r>
          </w:p>
        </w:tc>
        <w:tc>
          <w:tcPr>
            <w:tcW w:type="dxa" w:w="3213"/>
          </w:tcPr>
          <w:p>
            <w:r>
              <w:t>Método de cálculo</w:t>
            </w:r>
          </w:p>
        </w:tc>
        <w:tc>
          <w:tcPr>
            <w:tcW w:type="dxa" w:w="3213"/>
          </w:tcPr>
          <w:p>
            <w:r>
              <w:t>Periodicidad</w:t>
            </w:r>
          </w:p>
        </w:tc>
      </w:tr>
      <w:tr>
        <w:tc>
          <w:tcPr>
            <w:tcW w:type="dxa" w:w="3213"/>
          </w:tcPr>
          <w:p>
            <w:r>
              <w:t>Consumo eléctrico (kWh)</w:t>
            </w:r>
          </w:p>
        </w:tc>
        <w:tc>
          <w:tcPr>
            <w:tcW w:type="dxa" w:w="3213"/>
          </w:tcPr>
          <w:p>
            <w:r>
              <w:t>Lecturas de contador o informes del proveedor</w:t>
            </w:r>
          </w:p>
        </w:tc>
        <w:tc>
          <w:tcPr>
            <w:tcW w:type="dxa" w:w="3213"/>
          </w:tcPr>
          <w:p>
            <w:r>
              <w:t>Mensual</w:t>
            </w:r>
          </w:p>
        </w:tc>
      </w:tr>
      <w:tr>
        <w:tc>
          <w:tcPr>
            <w:tcW w:type="dxa" w:w="3213"/>
          </w:tcPr>
          <w:p>
            <w:r>
              <w:t>PUE</w:t>
            </w:r>
          </w:p>
        </w:tc>
        <w:tc>
          <w:tcPr>
            <w:tcW w:type="dxa" w:w="3213"/>
          </w:tcPr>
          <w:p>
            <w:r>
              <w:t>Energía total del centro / energía IT</w:t>
            </w:r>
          </w:p>
        </w:tc>
        <w:tc>
          <w:tcPr>
            <w:tcW w:type="dxa" w:w="3213"/>
          </w:tcPr>
          <w:p>
            <w:r>
              <w:t>Anual, si hay datos disponibles</w:t>
            </w:r>
          </w:p>
        </w:tc>
      </w:tr>
      <w:tr>
        <w:tc>
          <w:tcPr>
            <w:tcW w:type="dxa" w:w="3213"/>
          </w:tcPr>
          <w:p>
            <w:r>
              <w:t>Porcentaje de energía renovable</w:t>
            </w:r>
          </w:p>
        </w:tc>
        <w:tc>
          <w:tcPr>
            <w:tcW w:type="dxa" w:w="3213"/>
          </w:tcPr>
          <w:p>
            <w:r>
              <w:t>kWh renovables / kWh totales × 100</w:t>
            </w:r>
          </w:p>
        </w:tc>
        <w:tc>
          <w:tcPr>
            <w:tcW w:type="dxa" w:w="3213"/>
          </w:tcPr>
          <w:p>
            <w:r>
              <w:t>Anual</w:t>
            </w:r>
          </w:p>
        </w:tc>
      </w:tr>
      <w:tr>
        <w:tc>
          <w:tcPr>
            <w:tcW w:type="dxa" w:w="3213"/>
          </w:tcPr>
          <w:p>
            <w:r>
              <w:t>Utilización media de servidores</w:t>
            </w:r>
          </w:p>
        </w:tc>
        <w:tc>
          <w:tcPr>
            <w:tcW w:type="dxa" w:w="3213"/>
          </w:tcPr>
          <w:p>
            <w:r>
              <w:t>Métricas de monitorización</w:t>
            </w:r>
          </w:p>
        </w:tc>
        <w:tc>
          <w:tcPr>
            <w:tcW w:type="dxa" w:w="3213"/>
          </w:tcPr>
          <w:p>
            <w:r>
              <w:t>Mensual</w:t>
            </w:r>
          </w:p>
        </w:tc>
      </w:tr>
    </w:tbl>
    <w:p>
      <w:pPr>
        <w:spacing w:before="200"/>
      </w:pPr>
      <w:r>
        <w:rPr>
          <w:b/>
          <w:sz w:val="26"/>
        </w:rPr>
        <w:t>10.4. ODS 9. Industria, innovación e infraestructura</w:t>
      </w:r>
    </w:p>
    <w:p>
      <w:r>
        <w:t>El ODS 9 se relaciona con el objetivo principal de DSR: diseñar servicios tecnológicos fiables y resistentes. La resiliencia requiere evitar puntos únicos de fallo, disponer de copias recuperables y comprobar que los procedimientos funcionan. La disponibilidad no depende solo de tener copias, sino de poder restaurarlas dentro de los objetivos acordados con cada cliente.</w:t>
      </w:r>
    </w:p>
    <w:p>
      <w:pPr>
        <w:spacing w:before="120"/>
      </w:pPr>
      <w:r>
        <w:rPr>
          <w:b/>
          <w:sz w:val="22"/>
        </w:rPr>
        <w:t>Medidas de resiliencia</w:t>
      </w:r>
    </w:p>
    <w:p>
      <w:r>
        <w:t>• Alta disponibilidad y redundancia: identificar componentes críticos y, cuando sea viable, disponer de fuentes de alimentación, enlaces, almacenamiento o nodos alternativos.</w:t>
      </w:r>
    </w:p>
    <w:p>
      <w:r>
        <w:t>• Estrategia de copias 3-2-1: mantener tres copias de los datos, en dos tipos de soporte y una fuera de la ubicación principal. Se valorará que una copia sea inmutable o esté desconectada.</w:t>
      </w:r>
    </w:p>
    <w:p>
      <w:r>
        <w:t>• Pruebas de restauración: realizar pruebas programadas y documentar resultado, duración y problemas detectados.</w:t>
      </w:r>
    </w:p>
    <w:p>
      <w:r>
        <w:t>• Monitorización y alertas: vigilar copias, capacidad, conectividad, errores de hardware e intentos de acceso anómalos.</w:t>
      </w:r>
    </w:p>
    <w:p>
      <w:r>
        <w:t>• Balanceo de carga: distribuir solicitudes entre recursos disponibles cuando la arquitectura lo requiera.</w:t>
      </w:r>
    </w:p>
    <w:p>
      <w:r>
        <w:t>• Infraestructura como Código (IaC): mantener configuraciones versionadas y reproducibles, con revisión de cambios y control de acceso.</w:t>
      </w:r>
    </w:p>
    <w:p>
      <w:r>
        <w:t>• Seguridad: aplicar privilegio mínimo, actualizaciones y registro de operaciones.</w:t>
      </w:r>
    </w:p>
    <w:p>
      <w:pPr>
        <w:spacing w:before="120"/>
      </w:pPr>
      <w:r>
        <w:rPr>
          <w:b/>
          <w:sz w:val="22"/>
        </w:rPr>
        <w:t>RTO y RPO</w:t>
      </w:r>
    </w:p>
    <w:p>
      <w:r>
        <w:t>El RTO (Recovery Time Objective) es el tiempo objetivo para recuperar un servicio tras una interrupción. El RPO (Recovery Point Objective) expresa la antigüedad máxima de los datos que se acepta perder, medida en tiempo. DSR acordará ambos valores con cada cliente según la criticidad del servicio, el coste y los recursos disponibles. Los objetivos definitivos deberán documentarse y validarse mediante pruebas.</w:t>
      </w:r>
    </w:p>
    <w:tbl>
      <w:tblPr>
        <w:tblW w:type="auto" w:w="0"/>
        <w:tblLook w:firstColumn="1" w:firstRow="1" w:lastColumn="0" w:lastRow="0" w:noHBand="0" w:noVBand="1" w:val="04A0"/>
      </w:tblPr>
      <w:tblGrid>
        <w:gridCol w:w="3213"/>
        <w:gridCol w:w="3213"/>
        <w:gridCol w:w="3213"/>
      </w:tblGrid>
      <w:tr>
        <w:tc>
          <w:tcPr>
            <w:tcW w:type="dxa" w:w="3213"/>
          </w:tcPr>
          <w:p>
            <w:r>
              <w:t>Indicador</w:t>
            </w:r>
          </w:p>
        </w:tc>
        <w:tc>
          <w:tcPr>
            <w:tcW w:type="dxa" w:w="3213"/>
          </w:tcPr>
          <w:p>
            <w:r>
              <w:t>Evidencia</w:t>
            </w:r>
          </w:p>
        </w:tc>
        <w:tc>
          <w:tcPr>
            <w:tcW w:type="dxa" w:w="3213"/>
          </w:tcPr>
          <w:p>
            <w:r>
              <w:t>Periodicidad</w:t>
            </w:r>
          </w:p>
        </w:tc>
      </w:tr>
      <w:tr>
        <w:tc>
          <w:tcPr>
            <w:tcW w:type="dxa" w:w="3213"/>
          </w:tcPr>
          <w:p>
            <w:r>
              <w:t>Porcentaje de copias completadas</w:t>
            </w:r>
          </w:p>
        </w:tc>
        <w:tc>
          <w:tcPr>
            <w:tcW w:type="dxa" w:w="3213"/>
          </w:tcPr>
          <w:p>
            <w:r>
              <w:t>Informes del sistema de backup</w:t>
            </w:r>
          </w:p>
        </w:tc>
        <w:tc>
          <w:tcPr>
            <w:tcW w:type="dxa" w:w="3213"/>
          </w:tcPr>
          <w:p>
            <w:r>
              <w:t>Mensual</w:t>
            </w:r>
          </w:p>
        </w:tc>
      </w:tr>
      <w:tr>
        <w:tc>
          <w:tcPr>
            <w:tcW w:type="dxa" w:w="3213"/>
          </w:tcPr>
          <w:p>
            <w:r>
              <w:t>Restauraciones de prueba satisfactorias</w:t>
            </w:r>
          </w:p>
        </w:tc>
        <w:tc>
          <w:tcPr>
            <w:tcW w:type="dxa" w:w="3213"/>
          </w:tcPr>
          <w:p>
            <w:r>
              <w:t>Actas o registros de pruebas</w:t>
            </w:r>
          </w:p>
        </w:tc>
        <w:tc>
          <w:tcPr>
            <w:tcW w:type="dxa" w:w="3213"/>
          </w:tcPr>
          <w:p>
            <w:r>
              <w:t>Trimestral</w:t>
            </w:r>
          </w:p>
        </w:tc>
      </w:tr>
      <w:tr>
        <w:tc>
          <w:tcPr>
            <w:tcW w:type="dxa" w:w="3213"/>
          </w:tcPr>
          <w:p>
            <w:r>
              <w:t>Cumplimiento de RTO y RPO</w:t>
            </w:r>
          </w:p>
        </w:tc>
        <w:tc>
          <w:tcPr>
            <w:tcW w:type="dxa" w:w="3213"/>
          </w:tcPr>
          <w:p>
            <w:r>
              <w:t>Resultados de pruebas frente a objetivos acordados</w:t>
            </w:r>
          </w:p>
        </w:tc>
        <w:tc>
          <w:tcPr>
            <w:tcW w:type="dxa" w:w="3213"/>
          </w:tcPr>
          <w:p>
            <w:r>
              <w:t>En cada prueba</w:t>
            </w:r>
          </w:p>
        </w:tc>
      </w:tr>
      <w:tr>
        <w:tc>
          <w:tcPr>
            <w:tcW w:type="dxa" w:w="3213"/>
          </w:tcPr>
          <w:p>
            <w:r>
              <w:t>Incidentes críticos</w:t>
            </w:r>
          </w:p>
        </w:tc>
        <w:tc>
          <w:tcPr>
            <w:tcW w:type="dxa" w:w="3213"/>
          </w:tcPr>
          <w:p>
            <w:r>
              <w:t>Registro de incidencias y acciones correctivas</w:t>
            </w:r>
          </w:p>
        </w:tc>
        <w:tc>
          <w:tcPr>
            <w:tcW w:type="dxa" w:w="3213"/>
          </w:tcPr>
          <w:p>
            <w:r>
              <w:t>Mensual</w:t>
            </w:r>
          </w:p>
        </w:tc>
      </w:tr>
    </w:tbl>
    <w:p>
      <w:pPr>
        <w:spacing w:before="200"/>
      </w:pPr>
      <w:r>
        <w:rPr>
          <w:b/>
          <w:sz w:val="26"/>
        </w:rPr>
        <w:t>10.5. ODS 12. Producción y consumo responsables</w:t>
      </w:r>
    </w:p>
    <w:p>
      <w:r>
        <w:t>DSR aplicará principios de economía circular para reducir compras innecesarias y residuos. Antes de sustituir un dispositivo se evaluará si puede repararse, ampliarse o reasignarse a una tarea menos exigente. La reutilización solo se realizará si el equipo continúa siendo seguro, compatible y adecuado.</w:t>
      </w:r>
    </w:p>
    <w:p>
      <w:r>
        <w:t>• Mantener un inventario de equipos con fecha de adquisición, estado, ubicación y decisión final.</w:t>
      </w:r>
    </w:p>
    <w:p>
      <w:r>
        <w:t>• Priorizar reparación, ampliación y reutilización interna cuando resulte razonable.</w:t>
      </w:r>
    </w:p>
    <w:p>
      <w:r>
        <w:t>• Donar o entregar equipos funcionales a entidades adecuadas después de borrar los datos de forma segura.</w:t>
      </w:r>
    </w:p>
    <w:p>
      <w:r>
        <w:t>• Entregar equipos no reutilizables a gestores autorizados de RAEE y conservar los justificantes.</w:t>
      </w:r>
    </w:p>
    <w:p>
      <w:r>
        <w:t>• Reducir impresiones, consumibles y compras innecesarias.</w:t>
      </w:r>
    </w:p>
    <w:p>
      <w:r>
        <w:t>• Valorar durabilidad, reparabilidad, disponibilidad de repuestos y eficiencia energética al elegir proveedores.</w:t>
      </w:r>
    </w:p>
    <w:p>
      <w:pPr>
        <w:spacing w:before="200"/>
      </w:pPr>
      <w:r>
        <w:rPr>
          <w:b/>
          <w:sz w:val="26"/>
        </w:rPr>
        <w:t>10.6. Procedimiento RAEE y Digital Zero Waste</w:t>
      </w:r>
    </w:p>
    <w:p>
      <w:pPr>
        <w:spacing w:before="120"/>
      </w:pPr>
      <w:r>
        <w:rPr>
          <w:b/>
          <w:sz w:val="22"/>
        </w:rPr>
        <w:t>Procedimiento de gestión de RAEE</w:t>
      </w:r>
    </w:p>
    <w:p>
      <w:r>
        <w:t>1. Identificación: registrar los dispositivos retirados, su tipo, inventario, estado y motivo de retirada.</w:t>
      </w:r>
    </w:p>
    <w:p>
      <w:r>
        <w:t>2. Clasificación: distinguir equipos reutilizables, reparables y no reutilizables; separar baterías y componentes con gestión específica.</w:t>
      </w:r>
    </w:p>
    <w:p>
      <w:r>
        <w:t>3. Protección de la información: identificar soportes que contengan datos y autorizar su tratamiento antes de reutilizar o entregar el equipo.</w:t>
      </w:r>
    </w:p>
    <w:p>
      <w:r>
        <w:t>4. Borrado seguro: aplicar un método adecuado al soporte y a la sensibilidad de los datos. Si no puede garantizarse el borrado, mantener el soporte bajo control y recurrir a un servicio especializado.</w:t>
      </w:r>
    </w:p>
    <w:p>
      <w:r>
        <w:t>5. Reutilización o entrega: reasignar equipos que superen las comprobaciones de seguridad y entregar los residuos a un gestor autorizado o canal apropiado.</w:t>
      </w:r>
    </w:p>
    <w:p>
      <w:r>
        <w:t>6. Trazabilidad: conservar inventario, fecha, responsable, método de borrado, destinatario y certificado o justificante.</w:t>
      </w:r>
    </w:p>
    <w:p>
      <w:r>
        <w:t>7. Verificación: revisar los registros para evitar que los equipos retirados queden almacenados indefinidamente o se eliminen por canales no autorizados.</w:t>
      </w:r>
    </w:p>
    <w:p>
      <w:pPr>
        <w:spacing w:before="120"/>
      </w:pPr>
      <w:r>
        <w:rPr>
          <w:b/>
          <w:sz w:val="22"/>
        </w:rPr>
        <w:t>Digital Zero Waste</w:t>
      </w:r>
    </w:p>
    <w:p>
      <w:r>
        <w:t>Digital Zero Waste consiste en reducir recursos digitales innecesarios. En DSR se aplicará sin eliminar datos necesarios para la recuperación, la seguridad, el cumplimiento legal o las condiciones pactadas con los clientes. Toda eliminación deberá estar autorizada y documentada.</w:t>
      </w:r>
    </w:p>
    <w:p>
      <w:r>
        <w:t>• Revisar snapshots antiguos, imágenes de máquinas virtuales y copias duplicadas respetando las políticas de retención.</w:t>
      </w:r>
    </w:p>
    <w:p>
      <w:r>
        <w:t>• Detectar copias fallidas, obsoletas o redundantes y comprobar que existe una copia válida cuando sea necesaria.</w:t>
      </w:r>
    </w:p>
    <w:p>
      <w:r>
        <w:t>• Identificar máquinas virtuales, volúmenes, cuentas de almacenamiento y recursos huérfanos o sin propietario.</w:t>
      </w:r>
    </w:p>
    <w:p>
      <w:r>
        <w:t>• Definir responsables, etiquetas, fechas de caducidad y políticas de retención.</w:t>
      </w:r>
    </w:p>
    <w:p>
      <w:r>
        <w:t>• Monitorizar el crecimiento del almacenamiento y comunicar consumos anómalos.</w:t>
      </w:r>
    </w:p>
    <w:p>
      <w:r>
        <w:t>• Registrar las eliminaciones y conservar evidencias de aprobación.</w:t>
      </w:r>
    </w:p>
    <w:p>
      <w:pPr>
        <w:spacing w:before="200"/>
      </w:pPr>
      <w:r>
        <w:rPr>
          <w:b/>
          <w:sz w:val="26"/>
        </w:rPr>
        <w:t>10.7. Plan de reducción de CO₂</w:t>
      </w:r>
    </w:p>
    <w:p>
      <w:r>
        <w:t>El plan de reducción de emisiones se centrará inicialmente en el consumo eléctrico de la infraestructura y la prolongación de la vida útil de los equipos. Cuando existan datos, también se considerarán las emisiones asociadas a centros de datos y adquisición y retirada de equipos. Primero se establecerá una línea base y se documentará la fuente de cada dato.</w:t>
      </w:r>
    </w:p>
    <w:p>
      <w:r>
        <w:t>• Registrar una línea base anual de consumo eléctrico en kWh e indicar qué equipos incluye.</w:t>
      </w:r>
    </w:p>
    <w:p>
      <w:r>
        <w:t>• Reducir consumos evitables mediante virtualización, consolidación y eliminación controlada de recursos sin uso.</w:t>
      </w:r>
    </w:p>
    <w:p>
      <w:r>
        <w:t>• Solicitar a los proveedores información verificable sobre consumo y origen de la energía.</w:t>
      </w:r>
    </w:p>
    <w:p>
      <w:r>
        <w:t>• Reparar y reutilizar equipos antes de sustituirlos cuando no se comprometan seguridad y fiabilidad.</w:t>
      </w:r>
    </w:p>
    <w:p>
      <w:r>
        <w:t>• Calcular las emisiones eléctricas usando un factor de emisión reconocido para el periodo y ubicación.</w:t>
      </w:r>
    </w:p>
    <w:p>
      <w:r>
        <w:t>• Revisar anualmente los resultados y definir nuevas medidas si aumentan consumo o emisiones.</w:t>
      </w:r>
    </w:p>
    <w:p>
      <w:r>
        <w:t>Cálculo orientativo: emisiones de CO₂ equivalente (kg) = consumo eléctrico (kWh) × factor de emisión (kg CO₂e/kWh). Se indicarán la fuente y el año del factor utilizado. No se fija una reducción numérica anticipada porque todavía debe medirse la situación inicial.</w:t>
      </w:r>
    </w:p>
    <w:tbl>
      <w:tblPr>
        <w:tblW w:type="auto" w:w="0"/>
        <w:tblLook w:firstColumn="1" w:firstRow="1" w:lastColumn="0" w:lastRow="0" w:noHBand="0" w:noVBand="1" w:val="04A0"/>
      </w:tblPr>
      <w:tblGrid>
        <w:gridCol w:w="3213"/>
        <w:gridCol w:w="3213"/>
        <w:gridCol w:w="3213"/>
      </w:tblGrid>
      <w:tr>
        <w:tc>
          <w:tcPr>
            <w:tcW w:type="dxa" w:w="3213"/>
          </w:tcPr>
          <w:p>
            <w:r>
              <w:t>Indicador</w:t>
            </w:r>
          </w:p>
        </w:tc>
        <w:tc>
          <w:tcPr>
            <w:tcW w:type="dxa" w:w="3213"/>
          </w:tcPr>
          <w:p>
            <w:r>
              <w:t>Fórmula o evidencia</w:t>
            </w:r>
          </w:p>
        </w:tc>
        <w:tc>
          <w:tcPr>
            <w:tcW w:type="dxa" w:w="3213"/>
          </w:tcPr>
          <w:p>
            <w:r>
              <w:t>Periodicidad</w:t>
            </w:r>
          </w:p>
        </w:tc>
      </w:tr>
      <w:tr>
        <w:tc>
          <w:tcPr>
            <w:tcW w:type="dxa" w:w="3213"/>
          </w:tcPr>
          <w:p>
            <w:r>
              <w:t>Consumo eléctrico</w:t>
            </w:r>
          </w:p>
        </w:tc>
        <w:tc>
          <w:tcPr>
            <w:tcW w:type="dxa" w:w="3213"/>
          </w:tcPr>
          <w:p>
            <w:r>
              <w:t>kWh medidos o informados por proveedor</w:t>
            </w:r>
          </w:p>
        </w:tc>
        <w:tc>
          <w:tcPr>
            <w:tcW w:type="dxa" w:w="3213"/>
          </w:tcPr>
          <w:p>
            <w:r>
              <w:t>Mensual</w:t>
            </w:r>
          </w:p>
        </w:tc>
      </w:tr>
      <w:tr>
        <w:tc>
          <w:tcPr>
            <w:tcW w:type="dxa" w:w="3213"/>
          </w:tcPr>
          <w:p>
            <w:r>
              <w:t>Emisiones asociadas a electricidad</w:t>
            </w:r>
          </w:p>
        </w:tc>
        <w:tc>
          <w:tcPr>
            <w:tcW w:type="dxa" w:w="3213"/>
          </w:tcPr>
          <w:p>
            <w:r>
              <w:t>kWh × factor de emisión documentado</w:t>
            </w:r>
          </w:p>
        </w:tc>
        <w:tc>
          <w:tcPr>
            <w:tcW w:type="dxa" w:w="3213"/>
          </w:tcPr>
          <w:p>
            <w:r>
              <w:t>Anual</w:t>
            </w:r>
          </w:p>
        </w:tc>
      </w:tr>
      <w:tr>
        <w:tc>
          <w:tcPr>
            <w:tcW w:type="dxa" w:w="3213"/>
          </w:tcPr>
          <w:p>
            <w:r>
              <w:t>Equipos reutilizados</w:t>
            </w:r>
          </w:p>
        </w:tc>
        <w:tc>
          <w:tcPr>
            <w:tcW w:type="dxa" w:w="3213"/>
          </w:tcPr>
          <w:p>
            <w:r>
              <w:t>Equipos reutilizados / equipos retirados × 100</w:t>
            </w:r>
          </w:p>
        </w:tc>
        <w:tc>
          <w:tcPr>
            <w:tcW w:type="dxa" w:w="3213"/>
          </w:tcPr>
          <w:p>
            <w:r>
              <w:t>Anual</w:t>
            </w:r>
          </w:p>
        </w:tc>
      </w:tr>
      <w:tr>
        <w:tc>
          <w:tcPr>
            <w:tcW w:type="dxa" w:w="3213"/>
          </w:tcPr>
          <w:p>
            <w:r>
              <w:t>RAEE gestionado correctamente</w:t>
            </w:r>
          </w:p>
        </w:tc>
        <w:tc>
          <w:tcPr>
            <w:tcW w:type="dxa" w:w="3213"/>
          </w:tcPr>
          <w:p>
            <w:r>
              <w:t>Peso entregado y justificantes del gestor</w:t>
            </w:r>
          </w:p>
        </w:tc>
        <w:tc>
          <w:tcPr>
            <w:tcW w:type="dxa" w:w="3213"/>
          </w:tcPr>
          <w:p>
            <w:r>
              <w:t>Anual</w:t>
            </w:r>
          </w:p>
        </w:tc>
      </w:tr>
    </w:tbl>
    <w:p>
      <w:pPr>
        <w:spacing w:before="200"/>
      </w:pPr>
      <w:r>
        <w:rPr>
          <w:b/>
          <w:sz w:val="26"/>
        </w:rPr>
        <w:t>10.8. Matriz ESG</w:t>
      </w:r>
    </w:p>
    <w:tbl>
      <w:tblPr>
        <w:tblW w:type="auto" w:w="0"/>
        <w:tblLook w:firstColumn="1" w:firstRow="1" w:lastColumn="0" w:lastRow="0" w:noHBand="0" w:noVBand="1" w:val="04A0"/>
      </w:tblPr>
      <w:tblGrid>
        <w:gridCol w:w="2409"/>
        <w:gridCol w:w="2409"/>
        <w:gridCol w:w="2409"/>
        <w:gridCol w:w="2409"/>
      </w:tblGrid>
      <w:tr>
        <w:tc>
          <w:tcPr>
            <w:tcW w:type="dxa" w:w="2409"/>
          </w:tcPr>
          <w:p>
            <w:r>
              <w:t>Área</w:t>
            </w:r>
          </w:p>
        </w:tc>
        <w:tc>
          <w:tcPr>
            <w:tcW w:type="dxa" w:w="2409"/>
          </w:tcPr>
          <w:p>
            <w:r>
              <w:t>Acción</w:t>
            </w:r>
          </w:p>
        </w:tc>
        <w:tc>
          <w:tcPr>
            <w:tcW w:type="dxa" w:w="2409"/>
          </w:tcPr>
          <w:p>
            <w:r>
              <w:t>Indicador</w:t>
            </w:r>
          </w:p>
        </w:tc>
        <w:tc>
          <w:tcPr>
            <w:tcW w:type="dxa" w:w="2409"/>
          </w:tcPr>
          <w:p>
            <w:r>
              <w:t>Evidencia</w:t>
            </w:r>
          </w:p>
        </w:tc>
      </w:tr>
      <w:tr>
        <w:tc>
          <w:tcPr>
            <w:tcW w:type="dxa" w:w="2409"/>
          </w:tcPr>
          <w:p>
            <w:r>
              <w:t>Ambiental</w:t>
            </w:r>
          </w:p>
        </w:tc>
        <w:tc>
          <w:tcPr>
            <w:tcW w:type="dxa" w:w="2409"/>
          </w:tcPr>
          <w:p>
            <w:r>
              <w:t>Mejorar eficiencia energética</w:t>
            </w:r>
          </w:p>
        </w:tc>
        <w:tc>
          <w:tcPr>
            <w:tcW w:type="dxa" w:w="2409"/>
          </w:tcPr>
          <w:p>
            <w:r>
              <w:t>Consumo anual en kWh y PUE si está disponible</w:t>
            </w:r>
          </w:p>
        </w:tc>
        <w:tc>
          <w:tcPr>
            <w:tcW w:type="dxa" w:w="2409"/>
          </w:tcPr>
          <w:p>
            <w:r>
              <w:t>Facturas, lecturas e informes del proveedor</w:t>
            </w:r>
          </w:p>
        </w:tc>
      </w:tr>
      <w:tr>
        <w:tc>
          <w:tcPr>
            <w:tcW w:type="dxa" w:w="2409"/>
          </w:tcPr>
          <w:p>
            <w:r>
              <w:t>Ambiental</w:t>
            </w:r>
          </w:p>
        </w:tc>
        <w:tc>
          <w:tcPr>
            <w:tcW w:type="dxa" w:w="2409"/>
          </w:tcPr>
          <w:p>
            <w:r>
              <w:t>Aumentar energía renovable</w:t>
            </w:r>
          </w:p>
        </w:tc>
        <w:tc>
          <w:tcPr>
            <w:tcW w:type="dxa" w:w="2409"/>
          </w:tcPr>
          <w:p>
            <w:r>
              <w:t>Porcentaje de kWh renovables</w:t>
            </w:r>
          </w:p>
        </w:tc>
        <w:tc>
          <w:tcPr>
            <w:tcW w:type="dxa" w:w="2409"/>
          </w:tcPr>
          <w:p>
            <w:r>
              <w:t>Contrato o certificado del suministro</w:t>
            </w:r>
          </w:p>
        </w:tc>
      </w:tr>
      <w:tr>
        <w:tc>
          <w:tcPr>
            <w:tcW w:type="dxa" w:w="2409"/>
          </w:tcPr>
          <w:p>
            <w:r>
              <w:t>Ambiental</w:t>
            </w:r>
          </w:p>
        </w:tc>
        <w:tc>
          <w:tcPr>
            <w:tcW w:type="dxa" w:w="2409"/>
          </w:tcPr>
          <w:p>
            <w:r>
              <w:t>Gestionar RAEE correctamente</w:t>
            </w:r>
          </w:p>
        </w:tc>
        <w:tc>
          <w:tcPr>
            <w:tcW w:type="dxa" w:w="2409"/>
          </w:tcPr>
          <w:p>
            <w:r>
              <w:t>Peso o porcentaje entregado a gestor autorizado</w:t>
            </w:r>
          </w:p>
        </w:tc>
        <w:tc>
          <w:tcPr>
            <w:tcW w:type="dxa" w:w="2409"/>
          </w:tcPr>
          <w:p>
            <w:r>
              <w:t>Albaranes y certificados</w:t>
            </w:r>
          </w:p>
        </w:tc>
      </w:tr>
      <w:tr>
        <w:tc>
          <w:tcPr>
            <w:tcW w:type="dxa" w:w="2409"/>
          </w:tcPr>
          <w:p>
            <w:r>
              <w:t>Ambiental</w:t>
            </w:r>
          </w:p>
        </w:tc>
        <w:tc>
          <w:tcPr>
            <w:tcW w:type="dxa" w:w="2409"/>
          </w:tcPr>
          <w:p>
            <w:r>
              <w:t>Reducir residuos digitales</w:t>
            </w:r>
          </w:p>
        </w:tc>
        <w:tc>
          <w:tcPr>
            <w:tcW w:type="dxa" w:w="2409"/>
          </w:tcPr>
          <w:p>
            <w:r>
              <w:t>Recursos huérfanos revisados y eliminados con autorización</w:t>
            </w:r>
          </w:p>
        </w:tc>
        <w:tc>
          <w:tcPr>
            <w:tcW w:type="dxa" w:w="2409"/>
          </w:tcPr>
          <w:p>
            <w:r>
              <w:t>Informes de revisión y registros de cambios</w:t>
            </w:r>
          </w:p>
        </w:tc>
      </w:tr>
      <w:tr>
        <w:tc>
          <w:tcPr>
            <w:tcW w:type="dxa" w:w="2409"/>
          </w:tcPr>
          <w:p>
            <w:r>
              <w:t>Social</w:t>
            </w:r>
          </w:p>
        </w:tc>
        <w:tc>
          <w:tcPr>
            <w:tcW w:type="dxa" w:w="2409"/>
          </w:tcPr>
          <w:p>
            <w:r>
              <w:t>Formación técnica y ambiental</w:t>
            </w:r>
          </w:p>
        </w:tc>
        <w:tc>
          <w:tcPr>
            <w:tcW w:type="dxa" w:w="2409"/>
          </w:tcPr>
          <w:p>
            <w:r>
              <w:t>Horas de formación por persona</w:t>
            </w:r>
          </w:p>
        </w:tc>
        <w:tc>
          <w:tcPr>
            <w:tcW w:type="dxa" w:w="2409"/>
          </w:tcPr>
          <w:p>
            <w:r>
              <w:t>Registros de asistencia y contenidos</w:t>
            </w:r>
          </w:p>
        </w:tc>
      </w:tr>
      <w:tr>
        <w:tc>
          <w:tcPr>
            <w:tcW w:type="dxa" w:w="2409"/>
          </w:tcPr>
          <w:p>
            <w:r>
              <w:t>Social</w:t>
            </w:r>
          </w:p>
        </w:tc>
        <w:tc>
          <w:tcPr>
            <w:tcW w:type="dxa" w:w="2409"/>
          </w:tcPr>
          <w:p>
            <w:r>
              <w:t>Mejorar calidad del servicio</w:t>
            </w:r>
          </w:p>
        </w:tc>
        <w:tc>
          <w:tcPr>
            <w:tcW w:type="dxa" w:w="2409"/>
          </w:tcPr>
          <w:p>
            <w:r>
              <w:t>Porcentaje de pruebas de restauración satisfactorias</w:t>
            </w:r>
          </w:p>
        </w:tc>
        <w:tc>
          <w:tcPr>
            <w:tcW w:type="dxa" w:w="2409"/>
          </w:tcPr>
          <w:p>
            <w:r>
              <w:t>Informes de pruebas e incidencias</w:t>
            </w:r>
          </w:p>
        </w:tc>
      </w:tr>
      <w:tr>
        <w:tc>
          <w:tcPr>
            <w:tcW w:type="dxa" w:w="2409"/>
          </w:tcPr>
          <w:p>
            <w:r>
              <w:t>Gobernanza</w:t>
            </w:r>
          </w:p>
        </w:tc>
        <w:tc>
          <w:tcPr>
            <w:tcW w:type="dxa" w:w="2409"/>
          </w:tcPr>
          <w:p>
            <w:r>
              <w:t>Proteger datos personales</w:t>
            </w:r>
          </w:p>
        </w:tc>
        <w:tc>
          <w:tcPr>
            <w:tcW w:type="dxa" w:w="2409"/>
          </w:tcPr>
          <w:p>
            <w:r>
              <w:t>Revisiones de cumplimiento y acciones correctivas</w:t>
            </w:r>
          </w:p>
        </w:tc>
        <w:tc>
          <w:tcPr>
            <w:tcW w:type="dxa" w:w="2409"/>
          </w:tcPr>
          <w:p>
            <w:r>
              <w:t>Auditorías y documentación RGPD</w:t>
            </w:r>
          </w:p>
        </w:tc>
      </w:tr>
      <w:tr>
        <w:tc>
          <w:tcPr>
            <w:tcW w:type="dxa" w:w="2409"/>
          </w:tcPr>
          <w:p>
            <w:r>
              <w:t>Gobernanza</w:t>
            </w:r>
          </w:p>
        </w:tc>
        <w:tc>
          <w:tcPr>
            <w:tcW w:type="dxa" w:w="2409"/>
          </w:tcPr>
          <w:p>
            <w:r>
              <w:t>Controlar accesos y cambios</w:t>
            </w:r>
          </w:p>
        </w:tc>
        <w:tc>
          <w:tcPr>
            <w:tcW w:type="dxa" w:w="2409"/>
          </w:tcPr>
          <w:p>
            <w:r>
              <w:t>Revisiones de permisos y cambios registrados</w:t>
            </w:r>
          </w:p>
        </w:tc>
        <w:tc>
          <w:tcPr>
            <w:tcW w:type="dxa" w:w="2409"/>
          </w:tcPr>
          <w:p>
            <w:r>
              <w:t>Registros de acceso, tickets y control de versiones</w:t>
            </w:r>
          </w:p>
        </w:tc>
      </w:tr>
    </w:tbl>
    <w:p>
      <w:pPr>
        <w:spacing w:before="200"/>
      </w:pPr>
      <w:r>
        <w:rPr>
          <w:b/>
          <w:sz w:val="26"/>
        </w:rPr>
        <w:t>10.9. Seguimiento y evidencias</w:t>
      </w:r>
    </w:p>
    <w:p>
      <w:r>
        <w:t>Durante el primer periodo de funcionamiento, DSR recopilará datos para establecer una línea base realista. A partir de esa medición, podrá aprobar objetivos cuantificados de reducción de consumo, aumento de reutilización y mejora de la fiabilidad. Los resultados se revisarán al menos una vez al año. Cada indicador deberá tener responsable, fuente de datos, periodicidad y evidencia verificable.</w:t>
      </w:r>
    </w:p>
    <w:p>
      <w:r>
        <w:t>Las evidencias previstas incluyen informes de consumo, métricas de monitorización, registros de copias y restauraciones, actas de pruebas de recuperación, inventario de equipos, justificantes de entrega de RAEE, registros de formación, revisiones de permisos y documentación de cumplimiento. Los datos no medidos se identificarán como pendientes y no se presentarán como resultados alcanzados.</w:t>
      </w:r>
    </w:p>
    <w:p>
      <w:pPr>
        <w:spacing w:before="200"/>
      </w:pPr>
      <w:r>
        <w:rPr>
          <w:b/>
          <w:sz w:val="26"/>
        </w:rPr>
        <w:t>10.10. Conclusiones</w:t>
      </w:r>
    </w:p>
    <w:p>
      <w:r>
        <w:t>La incorporación de criterios RSE y ESG permite que DataSafe Recovery aborde la protección de datos y la continuidad de negocio desde una perspectiva más amplia. La eficiencia energética, la infraestructura resiliente, la economía circular y la gestión responsable de los residuos contribuyen a una actividad tecnológica más sostenible. La relación con los ODS 7, 9 y 12 se concreta en medidas técnicas y organizativas que pueden comprobarse mediante indicadores.</w:t>
      </w:r>
    </w:p>
    <w:p>
      <w:r>
        <w:t>El compromiso de DSR deberá demostrarse con resultados documentados y no solo con declaraciones de intención. Por ello, la empresa plantea medir el consumo energético, revisar el PUE cuando disponga de datos, probar las restauraciones, registrar la gestión de RAEE y auditar los procedimientos de seguridad y protección de datos. Esta metodología permitirá identificar mejoras y avanzar hacia una infraestructura más eficiente, responsable y resiliente.</w:t>
      </w:r>
    </w:p>
    <w:p>
      <w:pPr>
        <w:spacing w:before="200"/>
      </w:pPr>
      <w:r>
        <w:rPr>
          <w:b/>
          <w:sz w:val="26"/>
        </w:rPr>
        <w:t>10.11. Bibliografía y webgrafía</w:t>
      </w:r>
    </w:p>
    <w:p>
      <w:r>
        <w:t>• Naciones Unidas. Objetivos de Desarrollo Sostenible. https://sdgs.un.org/goals</w:t>
      </w:r>
    </w:p>
    <w:p>
      <w:r>
        <w:t>• Unión Europea. Reglamento (UE) 2016/679, Reglamento General de Protección de Datos. https://eur-lex.europa.eu/eli/reg/2016/679/oj</w:t>
      </w:r>
    </w:p>
    <w:p>
      <w:r>
        <w:t>• Unión Europea. Directiva 2012/19/UE sobre residuos de aparatos eléctricos y electrónicos (RAEE). https://eur-lex.europa.eu/eli/dir/2012/19/oj</w:t>
      </w:r>
    </w:p>
    <w:p>
      <w:r>
        <w:t>• The Green Grid. Recursos sobre Power Usage Effectiveness (PUE). https://www.thegreengrid.org/</w:t>
      </w:r>
    </w:p>
    <w:p>
      <w:r>
        <w:t>• INCIBE. Recursos de ciberseguridad para empresas. https://www.incibe.es/empresas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Liberation Sans">
    <w:altName w:val="Arial"/>
    <w:charset w:val="00" w:characterSet="windows-1252"/>
    <w:family w:val="swiss"/>
    <w:pitch w:val="variable"/>
  </w:font>
  <w:font w:name="Yu Gothic">
    <w:charset w:val="00" w:characterSet="windows-1252"/>
    <w:family w:val="roman"/>
    <w:pitch w:val="variable"/>
  </w:font>
</w:fonts>
</file>

<file path=word/settings.xml><?xml version="1.0" encoding="utf-8"?>
<w:settings xmlns:w="http://schemas.openxmlformats.org/wordprocessingml/2006/main">
  <w:zoom w:percent="8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ptos" w:hAnsi="Aptos" w:eastAsia="Aptos" w:cs="Noto Sans Devanagari"/>
      <w:color w:val="auto"/>
      <w:kern w:val="2"/>
      <w:sz w:val="22"/>
      <w:szCs w:val="24"/>
      <w:lang w:val="es-ES" w:eastAsia="zh-CN" w:bidi="hi-IN"/>
    </w:rPr>
  </w:style>
  <w:style w:type="character" w:styleId="DefaultParagraphFont">
    <w:name w:val="Default Paragraph Font"/>
    <w:qFormat/>
    <w:rPr/>
  </w:style>
  <w:style w:type="character" w:styleId="Ninguno">
    <w:name w:val="Ninguno"/>
    <w:basedOn w:val="DefaultParagraphFont"/>
    <w:qFormat/>
    <w:rPr/>
  </w:style>
  <w:style w:type="paragraph" w:styleId="Encapalament">
    <w:name w:val="Encapçalamen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ex">
    <w:name w:val="Índex"/>
    <w:basedOn w:val="Normal"/>
    <w:qFormat/>
    <w:pPr>
      <w:suppressLineNumbers/>
    </w:pPr>
    <w:rPr>
      <w:rFonts w:cs="Arial"/>
    </w:rPr>
  </w:style>
  <w:style w:type="paragraph" w:styleId="Encapalamentuser">
    <w:name w:val="Encapçalament (user)"/>
    <w:basedOn w:val="Normal"/>
    <w:next w:val="BodyText"/>
    <w:qFormat/>
    <w:pPr>
      <w:keepNext w:val="true"/>
      <w:spacing w:before="240" w:after="120"/>
    </w:pPr>
    <w:rPr>
      <w:rFonts w:ascii="Liberation Sans" w:hAnsi="Liberation Sans" w:eastAsia="Microsoft YaHei" w:cs="Arial"/>
      <w:sz w:val="28"/>
      <w:szCs w:val="28"/>
    </w:rPr>
  </w:style>
  <w:style w:type="paragraph" w:styleId="ndexuser">
    <w:name w:val="Índex (user)"/>
    <w:basedOn w:val="Normal"/>
    <w:qFormat/>
    <w:pPr>
      <w:suppressLineNumbers/>
    </w:pPr>
    <w:rPr>
      <w:rFonts w:cs="Aria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LibreOffice/26.2.6.3$Windows_X86_64 LibreOffice_project/8221e31b3ac356a1623c672912a3d2b492f7e3d1</Application>
  <AppVersion>15.0000</AppVersion>
  <Pages>3</Pages>
  <Words>906</Words>
  <Characters>5564</Characters>
  <CharactersWithSpaces>6420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2026-09-17T18:05:03Z</dcterms:created>
  <dc:creator/>
  <dc:description/>
  <dc:language>es-ES</dc:language>
  <cp:lastModifiedBy/>
  <dcterms:modified xsi:type="dcterms:W3CDTF">2026-09-22T16:36:09Z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