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250190</wp:posOffset>
            </wp:positionH>
            <wp:positionV relativeFrom="paragraph">
              <wp:posOffset>-182245</wp:posOffset>
            </wp:positionV>
            <wp:extent cx="5731510" cy="648335"/>
            <wp:effectExtent l="0" t="0" r="0" b="0"/>
            <wp:wrapSquare wrapText="largest"/>
            <wp:docPr id="1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8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widowControl w:val="false"/>
        <w:bidi w:val="0"/>
        <w:spacing w:lineRule="auto" w:line="240" w:before="0" w:after="0"/>
        <w:jc w:val="center"/>
        <w:rPr>
          <w:rFonts w:ascii="Yu Gothic" w:hAnsi="Yu Gothic" w:eastAsia="Yu Gothic" w:cs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pPr>
      <w:r>
        <w:rPr>
          <w:rFonts w:eastAsia="Yu Gothic" w:cs="Yu Gothic" w:ascii="Yu Gothic" w:hAnsi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r>
    </w:p>
    <w:p>
      <w:pPr>
        <w:pStyle w:val="Normal"/>
        <w:widowControl w:val="false"/>
        <w:bidi w:val="0"/>
        <w:spacing w:lineRule="auto" w:line="240" w:before="0" w:after="0"/>
        <w:jc w:val="center"/>
        <w:rPr>
          <w:rFonts w:ascii="Yu Gothic" w:hAnsi="Yu Gothic" w:eastAsia="Yu Gothic" w:cs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pPr>
      <w:r>
        <w:rPr>
          <w:rFonts w:eastAsia="Yu Gothic" w:cs="Yu Gothic" w:ascii="Yu Gothic" w:hAnsi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r>
    </w:p>
    <w:p>
      <w:pPr>
        <w:pStyle w:val="Normal"/>
        <w:widowControl w:val="false"/>
        <w:bidi w:val="0"/>
        <w:spacing w:lineRule="auto" w:line="240" w:before="0" w:after="0"/>
        <w:jc w:val="center"/>
        <w:rPr>
          <w:rFonts w:ascii="Yu Gothic" w:hAnsi="Yu Gothic" w:eastAsia="Yu Gothic" w:cs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pPr>
      <w:r>
        <w:rPr>
          <w:rFonts w:eastAsia="Yu Gothic" w:cs="Yu Gothic" w:ascii="Yu Gothic" w:hAnsi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r>
    </w:p>
    <w:p>
      <w:pPr>
        <w:pStyle w:val="Normal"/>
        <w:widowControl w:val="false"/>
        <w:bidi w:val="0"/>
        <w:spacing w:lineRule="auto" w:line="240" w:before="0" w:after="0"/>
        <w:jc w:val="center"/>
        <w:rPr>
          <w:rFonts w:ascii="Yu Gothic" w:hAnsi="Yu Gothic" w:eastAsia="Yu Gothic" w:cs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pPr>
      <w:r>
        <w:rPr>
          <w:rFonts w:eastAsia="Yu Gothic" w:cs="Yu Gothic" w:ascii="Yu Gothic" w:hAnsi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r>
    </w:p>
    <w:p>
      <w:pPr>
        <w:pStyle w:val="Normal"/>
        <w:widowControl w:val="false"/>
        <w:bidi w:val="0"/>
        <w:spacing w:lineRule="auto" w:line="240" w:before="0" w:after="0"/>
        <w:jc w:val="center"/>
        <w:rPr>
          <w:rFonts w:ascii="Yu Gothic" w:hAnsi="Yu Gothic" w:eastAsia="Yu Gothic" w:cs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pPr>
      <w:r>
        <w:rPr>
          <w:rFonts w:eastAsia="Yu Gothic" w:cs="Yu Gothic" w:ascii="Yu Gothic" w:hAnsi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r>
    </w:p>
    <w:p>
      <w:pPr>
        <w:pStyle w:val="Normal"/>
        <w:widowControl w:val="false"/>
        <w:bidi w:val="0"/>
        <w:spacing w:lineRule="auto" w:line="240" w:before="0" w:after="0"/>
        <w:jc w:val="center"/>
        <w:rPr>
          <w:rFonts w:ascii="Yu Gothic" w:hAnsi="Yu Gothic" w:eastAsia="Yu Gothic" w:cs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pPr>
      <w:r>
        <w:rPr>
          <w:rFonts w:eastAsia="Yu Gothic" w:cs="Yu Gothic" w:ascii="Yu Gothic" w:hAnsi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r>
    </w:p>
    <w:p>
      <w:pPr>
        <w:pStyle w:val="Normal"/>
        <w:widowControl w:val="false"/>
        <w:bidi w:val="0"/>
        <w:spacing w:lineRule="auto" w:line="240" w:before="0" w:after="0"/>
        <w:jc w:val="center"/>
        <w:rPr>
          <w:rFonts w:ascii="Yu Gothic" w:hAnsi="Yu Gothic" w:eastAsia="Yu Gothic" w:cs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pPr>
      <w:r>
        <w:rPr>
          <w:rFonts w:eastAsia="Yu Gothic" w:cs="Yu Gothic" w:ascii="Yu Gothic" w:hAnsi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r>
    </w:p>
    <w:p>
      <w:pPr>
        <w:pStyle w:val="Normal"/>
        <w:widowControl w:val="false"/>
        <w:bidi w:val="0"/>
        <w:spacing w:lineRule="auto" w:line="240" w:before="0" w:after="0"/>
        <w:jc w:val="center"/>
        <w:rPr>
          <w:rFonts w:ascii="Yu Gothic" w:hAnsi="Yu Gothic" w:eastAsia="Yu Gothic" w:cs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pPr>
      <w:r>
        <w:rPr>
          <w:rStyle w:val="Ninguno"/>
          <w:rFonts w:eastAsia="Yu Gothic" w:cs="Yu Gothic" w:ascii="Yu Gothic" w:hAnsi="Yu Gothic"/>
          <w:b/>
          <w:bCs/>
          <w:i w:val="false"/>
          <w:iCs w:val="false"/>
          <w:color w:themeColor="text1" w:val="000000"/>
          <w:sz w:val="40"/>
          <w:szCs w:val="40"/>
          <w:lang w:val="es-ES"/>
        </w:rPr>
        <w:t>MÓDULO PROYECTO DE ADMINISTRACIÓN DE SISTEMAS INFORMATICOS EN RED</w:t>
      </w:r>
    </w:p>
    <w:p>
      <w:pPr>
        <w:pStyle w:val="Normal"/>
        <w:widowControl w:val="false"/>
        <w:bidi w:val="0"/>
        <w:spacing w:lineRule="auto" w:line="240" w:before="0" w:after="0"/>
        <w:jc w:val="center"/>
        <w:rPr>
          <w:rFonts w:ascii="Yu Gothic" w:hAnsi="Yu Gothic" w:eastAsia="Yu Gothic" w:cs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pPr>
      <w:r>
        <w:rPr>
          <w:rFonts w:eastAsia="Yu Gothic" w:cs="Yu Gothic" w:ascii="Yu Gothic" w:hAnsi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r>
    </w:p>
    <w:p>
      <w:pPr>
        <w:pStyle w:val="Normal"/>
        <w:widowControl w:val="false"/>
        <w:bidi w:val="0"/>
        <w:spacing w:lineRule="auto" w:line="240" w:before="0" w:after="0"/>
        <w:jc w:val="start"/>
        <w:rPr>
          <w:rFonts w:ascii="Yu Gothic" w:hAnsi="Yu Gothic" w:eastAsia="Yu Gothic" w:cs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pPr>
      <w:r>
        <w:rPr>
          <w:rFonts w:eastAsia="Yu Gothic" w:cs="Yu Gothic" w:ascii="Yu Gothic" w:hAnsi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r>
    </w:p>
    <w:p>
      <w:pPr>
        <w:pStyle w:val="Normal"/>
        <w:widowControl w:val="false"/>
        <w:bidi w:val="0"/>
        <w:spacing w:lineRule="auto" w:line="240" w:before="0" w:after="0"/>
        <w:jc w:val="center"/>
        <w:rPr/>
      </w:pPr>
      <w:r>
        <w:rPr>
          <w:rStyle w:val="Ninguno"/>
          <w:rFonts w:eastAsia="Yu Gothic" w:cs="Yu Gothic" w:ascii="Yu Gothic" w:hAnsi="Yu Gothic"/>
          <w:b/>
          <w:bCs/>
          <w:i w:val="false"/>
          <w:iCs w:val="false"/>
          <w:strike w:val="false"/>
          <w:dstrike w:val="false"/>
          <w:color w:val="000000"/>
          <w:sz w:val="40"/>
          <w:szCs w:val="40"/>
          <w:u w:val="none"/>
          <w:lang w:val="es-ES"/>
        </w:rPr>
        <w:t xml:space="preserve">TÍTULO  DEL PROYECTO ACEPTADO O ASIGNADO </w:t>
      </w:r>
    </w:p>
    <w:p>
      <w:pPr>
        <w:pStyle w:val="Normal"/>
        <w:widowControl w:val="false"/>
        <w:bidi w:val="0"/>
        <w:spacing w:lineRule="auto" w:line="240" w:before="0" w:after="0"/>
        <w:jc w:val="center"/>
        <w:rPr/>
      </w:pPr>
      <w:r>
        <w:rPr>
          <w:rStyle w:val="Ninguno"/>
          <w:rFonts w:eastAsia="Yu Gothic" w:cs="Yu Gothic" w:ascii="Yu Gothic" w:hAnsi="Yu Gothic"/>
          <w:b/>
          <w:bCs/>
          <w:i w:val="false"/>
          <w:iCs w:val="false"/>
          <w:strike w:val="false"/>
          <w:dstrike w:val="false"/>
          <w:color w:val="000000"/>
          <w:sz w:val="40"/>
          <w:szCs w:val="40"/>
          <w:u w:val="none"/>
          <w:lang w:val="es-ES"/>
        </w:rPr>
        <w:t>POR EL EQUIPO DOCENTE</w:t>
      </w:r>
    </w:p>
    <w:p>
      <w:pPr>
        <w:pStyle w:val="Normal"/>
        <w:widowControl w:val="false"/>
        <w:bidi w:val="0"/>
        <w:spacing w:lineRule="auto" w:line="240" w:before="0" w:after="0"/>
        <w:jc w:val="center"/>
        <w:rPr>
          <w:rStyle w:val="Ninguno"/>
          <w:rFonts w:ascii="Yu Gothic" w:hAnsi="Yu Gothic" w:eastAsia="Yu Gothic" w:cs="Yu Gothic"/>
          <w:b/>
          <w:bCs/>
          <w:i w:val="false"/>
          <w:iCs w:val="false"/>
          <w:strike w:val="false"/>
          <w:dstrike w:val="false"/>
          <w:color w:val="000000"/>
          <w:sz w:val="40"/>
          <w:szCs w:val="40"/>
          <w:u w:val="none"/>
          <w:lang w:val="es-ES"/>
        </w:rPr>
      </w:pPr>
      <w:r>
        <w:rPr>
          <w:rFonts w:eastAsia="Yu Gothic" w:cs="Yu Gothic" w:ascii="Yu Gothic" w:hAnsi="Yu Gothic"/>
          <w:b/>
          <w:bCs/>
          <w:i w:val="false"/>
          <w:iCs w:val="false"/>
          <w:strike w:val="false"/>
          <w:dstrike w:val="false"/>
          <w:color w:val="000000"/>
          <w:sz w:val="40"/>
          <w:szCs w:val="40"/>
          <w:u w:val="none"/>
          <w:lang w:val="es-ES"/>
        </w:rPr>
      </w:r>
    </w:p>
    <w:p>
      <w:pPr>
        <w:pStyle w:val="Normal"/>
        <w:widowControl w:val="false"/>
        <w:bidi w:val="0"/>
        <w:spacing w:lineRule="auto" w:line="240" w:before="0" w:after="0"/>
        <w:jc w:val="center"/>
        <w:rPr/>
      </w:pPr>
      <w:r>
        <w:rPr>
          <w:rStyle w:val="Ninguno"/>
          <w:rFonts w:eastAsia="Yu Gothic" w:cs="Yu Gothic" w:ascii="Yu Gothic" w:hAnsi="Yu Gothic"/>
          <w:b/>
          <w:bCs/>
          <w:i w:val="false"/>
          <w:iCs w:val="false"/>
          <w:strike w:val="false"/>
          <w:dstrike w:val="false"/>
          <w:color w:val="000000"/>
          <w:sz w:val="40"/>
          <w:szCs w:val="40"/>
          <w:u w:val="none"/>
          <w:lang w:val="es-ES"/>
        </w:rPr>
        <w:t>“</w:t>
      </w:r>
      <w:r>
        <w:rPr>
          <w:rStyle w:val="Ninguno"/>
          <w:rFonts w:eastAsia="Yu Gothic" w:cs="Yu Gothic" w:ascii="Yu Gothic" w:hAnsi="Yu Gothic"/>
          <w:b/>
          <w:bCs/>
          <w:i w:val="false"/>
          <w:iCs w:val="false"/>
          <w:strike w:val="false"/>
          <w:dstrike w:val="false"/>
          <w:color w:val="000000"/>
          <w:sz w:val="40"/>
          <w:szCs w:val="40"/>
          <w:u w:val="none"/>
          <w:lang w:val="es-ES"/>
        </w:rPr>
        <w:t>DATASAFE RECOVERY(DSR)”</w:t>
      </w:r>
    </w:p>
    <w:p>
      <w:pPr>
        <w:pStyle w:val="Normal"/>
        <w:widowControl w:val="false"/>
        <w:bidi w:val="0"/>
        <w:spacing w:lineRule="auto" w:line="240" w:before="0" w:after="0"/>
        <w:jc w:val="start"/>
        <w:rPr>
          <w:rFonts w:ascii="Yu Gothic" w:hAnsi="Yu Gothic" w:eastAsia="Yu Gothic" w:cs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pPr>
      <w:r>
        <w:rPr>
          <w:rFonts w:eastAsia="Yu Gothic" w:cs="Yu Gothic" w:ascii="Yu Gothic" w:hAnsi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r>
    </w:p>
    <w:p>
      <w:pPr>
        <w:pStyle w:val="Normal"/>
        <w:widowControl w:val="false"/>
        <w:bidi w:val="0"/>
        <w:spacing w:lineRule="auto" w:line="240" w:before="0" w:after="0"/>
        <w:jc w:val="start"/>
        <w:rPr>
          <w:rFonts w:ascii="Yu Gothic" w:hAnsi="Yu Gothic" w:eastAsia="Yu Gothic" w:cs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pPr>
      <w:r>
        <w:rPr>
          <w:rFonts w:eastAsia="Yu Gothic" w:cs="Yu Gothic" w:ascii="Yu Gothic" w:hAnsi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r>
    </w:p>
    <w:p>
      <w:pPr>
        <w:pStyle w:val="Normal"/>
        <w:widowControl w:val="false"/>
        <w:bidi w:val="0"/>
        <w:spacing w:lineRule="auto" w:line="240" w:before="0" w:after="0"/>
        <w:jc w:val="start"/>
        <w:rPr>
          <w:rFonts w:ascii="Yu Gothic" w:hAnsi="Yu Gothic" w:eastAsia="Yu Gothic" w:cs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pPr>
      <w:r>
        <w:rPr>
          <w:rFonts w:eastAsia="Yu Gothic" w:cs="Yu Gothic" w:ascii="Yu Gothic" w:hAnsi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r>
    </w:p>
    <w:p>
      <w:pPr>
        <w:pStyle w:val="Normal"/>
        <w:widowControl w:val="false"/>
        <w:bidi w:val="0"/>
        <w:spacing w:lineRule="auto" w:line="240" w:before="0" w:after="0"/>
        <w:jc w:val="start"/>
        <w:rPr>
          <w:rFonts w:ascii="Yu Gothic" w:hAnsi="Yu Gothic" w:eastAsia="Yu Gothic" w:cs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pPr>
      <w:r>
        <w:rPr>
          <w:rFonts w:eastAsia="Yu Gothic" w:cs="Yu Gothic" w:ascii="Yu Gothic" w:hAnsi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r>
    </w:p>
    <w:p>
      <w:pPr>
        <w:pStyle w:val="Normal"/>
        <w:widowControl w:val="false"/>
        <w:bidi w:val="0"/>
        <w:spacing w:lineRule="auto" w:line="240" w:before="0" w:after="0"/>
        <w:jc w:val="start"/>
        <w:rPr>
          <w:rFonts w:ascii="Yu Gothic" w:hAnsi="Yu Gothic" w:eastAsia="Yu Gothic" w:cs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pPr>
      <w:r>
        <w:rPr>
          <w:rFonts w:eastAsia="Yu Gothic" w:cs="Yu Gothic" w:ascii="Yu Gothic" w:hAnsi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r>
    </w:p>
    <w:p>
      <w:pPr>
        <w:pStyle w:val="Normal"/>
        <w:widowControl w:val="false"/>
        <w:bidi w:val="0"/>
        <w:spacing w:lineRule="auto" w:line="240" w:before="0" w:after="0"/>
        <w:jc w:val="start"/>
        <w:rPr>
          <w:rFonts w:ascii="Yu Gothic" w:hAnsi="Yu Gothic" w:eastAsia="Yu Gothic" w:cs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pPr>
      <w:r>
        <w:rPr>
          <w:rFonts w:eastAsia="Yu Gothic" w:cs="Yu Gothic" w:ascii="Yu Gothic" w:hAnsi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r>
    </w:p>
    <w:p>
      <w:pPr>
        <w:pStyle w:val="Normal"/>
        <w:widowControl w:val="false"/>
        <w:bidi w:val="0"/>
        <w:spacing w:lineRule="auto" w:line="240" w:before="0" w:after="0"/>
        <w:jc w:val="start"/>
        <w:rPr>
          <w:rFonts w:ascii="Yu Gothic" w:hAnsi="Yu Gothic" w:eastAsia="Yu Gothic" w:cs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pPr>
      <w:r>
        <w:rPr>
          <w:rFonts w:eastAsia="Yu Gothic" w:cs="Yu Gothic" w:ascii="Yu Gothic" w:hAnsi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r>
    </w:p>
    <w:p>
      <w:pPr>
        <w:pStyle w:val="Normal"/>
        <w:widowControl w:val="false"/>
        <w:bidi w:val="0"/>
        <w:spacing w:lineRule="auto" w:line="240" w:before="0" w:after="0"/>
        <w:jc w:val="start"/>
        <w:rPr>
          <w:rFonts w:ascii="Yu Gothic" w:hAnsi="Yu Gothic" w:eastAsia="Yu Gothic" w:cs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pPr>
      <w:r>
        <w:rPr>
          <w:rFonts w:eastAsia="Yu Gothic" w:cs="Yu Gothic" w:ascii="Yu Gothic" w:hAnsi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r>
    </w:p>
    <w:p>
      <w:pPr>
        <w:pStyle w:val="Normal"/>
        <w:widowControl w:val="false"/>
        <w:bidi w:val="0"/>
        <w:spacing w:lineRule="auto" w:line="240" w:before="0" w:after="0"/>
        <w:jc w:val="start"/>
        <w:rPr>
          <w:rFonts w:ascii="Yu Gothic" w:hAnsi="Yu Gothic" w:eastAsia="Yu Gothic" w:cs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pPr>
      <w:r>
        <w:rPr>
          <w:rFonts w:eastAsia="Yu Gothic" w:cs="Yu Gothic" w:ascii="Yu Gothic" w:hAnsi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r>
    </w:p>
    <w:p>
      <w:pPr>
        <w:pStyle w:val="Normal"/>
        <w:widowControl w:val="false"/>
        <w:bidi w:val="0"/>
        <w:spacing w:lineRule="auto" w:line="240" w:before="0" w:after="0"/>
        <w:jc w:val="start"/>
        <w:rPr>
          <w:rFonts w:ascii="Yu Gothic" w:hAnsi="Yu Gothic" w:eastAsia="Yu Gothic" w:cs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pPr>
      <w:r>
        <w:rPr>
          <w:rFonts w:eastAsia="Yu Gothic" w:cs="Yu Gothic" w:ascii="Yu Gothic" w:hAnsi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r>
    </w:p>
    <w:p>
      <w:pPr>
        <w:pStyle w:val="Normal"/>
        <w:widowControl w:val="false"/>
        <w:bidi w:val="0"/>
        <w:spacing w:lineRule="auto" w:line="240" w:before="0" w:after="0"/>
        <w:jc w:val="start"/>
        <w:rPr>
          <w:rFonts w:ascii="Yu Gothic" w:hAnsi="Yu Gothic" w:eastAsia="Yu Gothic" w:cs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pPr>
      <w:r>
        <w:rPr>
          <w:rFonts w:eastAsia="Yu Gothic" w:cs="Yu Gothic" w:ascii="Yu Gothic" w:hAnsi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r>
    </w:p>
    <w:p>
      <w:pPr>
        <w:pStyle w:val="Normal"/>
        <w:widowControl w:val="false"/>
        <w:bidi w:val="0"/>
        <w:spacing w:lineRule="auto" w:line="240" w:before="0" w:after="0"/>
        <w:jc w:val="start"/>
        <w:rPr>
          <w:rFonts w:ascii="Yu Gothic" w:hAnsi="Yu Gothic" w:eastAsia="Yu Gothic" w:cs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pPr>
      <w:r>
        <w:rPr>
          <w:rFonts w:eastAsia="Yu Gothic" w:cs="Yu Gothic" w:ascii="Yu Gothic" w:hAnsi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r>
    </w:p>
    <w:p>
      <w:pPr>
        <w:pStyle w:val="Normal"/>
        <w:widowControl w:val="false"/>
        <w:bidi w:val="0"/>
        <w:spacing w:lineRule="auto" w:line="240" w:before="0" w:after="0"/>
        <w:jc w:val="start"/>
        <w:rPr>
          <w:rFonts w:ascii="Yu Gothic" w:hAnsi="Yu Gothic" w:eastAsia="Yu Gothic" w:cs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pPr>
      <w:r>
        <w:rPr>
          <w:rFonts w:eastAsia="Yu Gothic" w:cs="Yu Gothic" w:ascii="Yu Gothic" w:hAnsi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r>
    </w:p>
    <w:p>
      <w:pPr>
        <w:pStyle w:val="Normal"/>
        <w:widowControl w:val="false"/>
        <w:bidi w:val="0"/>
        <w:spacing w:lineRule="auto" w:line="240" w:before="0" w:after="0"/>
        <w:jc w:val="start"/>
        <w:rPr>
          <w:rFonts w:ascii="Yu Gothic" w:hAnsi="Yu Gothic" w:eastAsia="Yu Gothic" w:cs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pPr>
      <w:r>
        <w:rPr>
          <w:rFonts w:eastAsia="Yu Gothic" w:cs="Yu Gothic" w:ascii="Yu Gothic" w:hAnsi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r>
    </w:p>
    <w:p>
      <w:pPr>
        <w:pStyle w:val="Normal"/>
        <w:widowControl w:val="false"/>
        <w:bidi w:val="0"/>
        <w:spacing w:lineRule="auto" w:line="240" w:before="0" w:after="0"/>
        <w:jc w:val="start"/>
        <w:rPr>
          <w:rFonts w:ascii="Yu Gothic" w:hAnsi="Yu Gothic" w:eastAsia="Yu Gothic" w:cs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pPr>
      <w:r>
        <w:rPr>
          <w:rFonts w:eastAsia="Yu Gothic" w:cs="Yu Gothic" w:ascii="Yu Gothic" w:hAnsi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r>
    </w:p>
    <w:p>
      <w:pPr>
        <w:pStyle w:val="Normal"/>
        <w:widowControl w:val="false"/>
        <w:bidi w:val="0"/>
        <w:spacing w:lineRule="auto" w:line="240" w:before="0" w:after="0"/>
        <w:jc w:val="start"/>
        <w:rPr>
          <w:rFonts w:ascii="Yu Gothic" w:hAnsi="Yu Gothic" w:eastAsia="Yu Gothic" w:cs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pPr>
      <w:r>
        <w:rPr>
          <w:rFonts w:eastAsia="Yu Gothic" w:cs="Yu Gothic" w:ascii="Yu Gothic" w:hAnsi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r>
    </w:p>
    <w:p>
      <w:pPr>
        <w:pStyle w:val="Normal"/>
        <w:widowControl w:val="false"/>
        <w:bidi w:val="0"/>
        <w:spacing w:lineRule="auto" w:line="240" w:before="0" w:after="0"/>
        <w:jc w:val="start"/>
        <w:rPr>
          <w:rFonts w:ascii="Yu Gothic" w:hAnsi="Yu Gothic" w:eastAsia="Yu Gothic" w:cs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pPr>
      <w:r>
        <w:rPr>
          <w:rFonts w:eastAsia="Yu Gothic" w:cs="Yu Gothic" w:ascii="Yu Gothic" w:hAnsi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r>
    </w:p>
    <w:p>
      <w:pPr>
        <w:pStyle w:val="Normal"/>
        <w:widowControl w:val="false"/>
        <w:bidi w:val="0"/>
        <w:spacing w:lineRule="auto" w:line="240" w:before="0" w:after="0"/>
        <w:jc w:val="start"/>
        <w:rPr>
          <w:rFonts w:ascii="Yu Gothic" w:hAnsi="Yu Gothic" w:eastAsia="Yu Gothic" w:cs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pPr>
      <w:r>
        <w:rPr>
          <w:rFonts w:eastAsia="Yu Gothic" w:cs="Yu Gothic" w:ascii="Yu Gothic" w:hAnsi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r>
    </w:p>
    <w:p>
      <w:pPr>
        <w:pStyle w:val="Normal"/>
        <w:widowControl w:val="false"/>
        <w:bidi w:val="0"/>
        <w:spacing w:lineRule="auto" w:line="240" w:before="0" w:after="0"/>
        <w:jc w:val="start"/>
        <w:rPr>
          <w:rFonts w:ascii="Yu Gothic" w:hAnsi="Yu Gothic" w:eastAsia="Yu Gothic" w:cs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pPr>
      <w:r>
        <w:rPr>
          <w:rFonts w:eastAsia="Yu Gothic" w:cs="Yu Gothic" w:ascii="Yu Gothic" w:hAnsi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r>
    </w:p>
    <w:p>
      <w:pPr>
        <w:pStyle w:val="Normal"/>
        <w:widowControl w:val="false"/>
        <w:bidi w:val="0"/>
        <w:spacing w:lineRule="auto" w:line="240" w:before="0" w:after="0"/>
        <w:jc w:val="start"/>
        <w:rPr>
          <w:rFonts w:ascii="Yu Gothic" w:hAnsi="Yu Gothic" w:eastAsia="Yu Gothic" w:cs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pPr>
      <w:r>
        <w:rPr>
          <w:rFonts w:eastAsia="Yu Gothic" w:cs="Yu Gothic" w:ascii="Yu Gothic" w:hAnsi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r>
    </w:p>
    <w:p>
      <w:pPr>
        <w:pStyle w:val="Normal"/>
        <w:widowControl w:val="false"/>
        <w:bidi w:val="0"/>
        <w:spacing w:lineRule="auto" w:line="240" w:before="0" w:after="0"/>
        <w:ind w:hanging="0" w:end="580"/>
        <w:jc w:val="end"/>
        <w:rPr>
          <w:rFonts w:ascii="Yu Gothic" w:hAnsi="Yu Gothic" w:eastAsia="Yu Gothic" w:cs="Yu Gothic"/>
          <w:b w:val="false"/>
          <w:bCs w:val="false"/>
          <w:i w:val="false"/>
          <w:iCs w:val="false"/>
          <w:color w:val="0000FF"/>
          <w:sz w:val="22"/>
          <w:szCs w:val="22"/>
          <w:lang w:val="es-ES"/>
        </w:rPr>
      </w:pPr>
      <w:r>
        <w:rPr>
          <w:rStyle w:val="Ninguno"/>
          <w:rFonts w:eastAsia="Yu Gothic" w:cs="Yu Gothic" w:ascii="Yu Gothic" w:hAnsi="Yu Gothic"/>
          <w:b/>
          <w:bCs/>
          <w:i w:val="false"/>
          <w:iCs w:val="false"/>
          <w:color w:themeColor="text1" w:val="000000"/>
          <w:sz w:val="22"/>
          <w:szCs w:val="22"/>
          <w:lang w:val="es-ES"/>
        </w:rPr>
        <w:t>AUTOR/A</w:t>
      </w:r>
      <w:r>
        <w:rPr>
          <w:rStyle w:val="Ninguno"/>
          <w:rFonts w:eastAsia="Yu Gothic" w:cs="Yu Gothic" w:ascii="Yu Gothic" w:hAnsi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  <w:t>: Nacho Herrero Llopis</w:t>
      </w:r>
    </w:p>
    <w:p>
      <w:pPr>
        <w:pStyle w:val="Normal"/>
        <w:widowControl w:val="false"/>
        <w:bidi w:val="0"/>
        <w:spacing w:lineRule="auto" w:line="240" w:before="0" w:after="0"/>
        <w:ind w:hanging="0" w:end="580"/>
        <w:jc w:val="end"/>
        <w:rPr>
          <w:rFonts w:ascii="Yu Gothic" w:hAnsi="Yu Gothic" w:eastAsia="Yu Gothic" w:cs="Yu Gothic"/>
          <w:b w:val="false"/>
          <w:bCs w:val="false"/>
          <w:i w:val="false"/>
          <w:iCs w:val="false"/>
          <w:color w:val="0000FF"/>
          <w:sz w:val="22"/>
          <w:szCs w:val="22"/>
          <w:lang w:val="es-ES"/>
        </w:rPr>
      </w:pPr>
      <w:r>
        <w:rPr>
          <w:rStyle w:val="Ninguno"/>
          <w:rFonts w:eastAsia="Yu Gothic" w:cs="Yu Gothic" w:ascii="Yu Gothic" w:hAnsi="Yu Gothic"/>
          <w:b/>
          <w:bCs/>
          <w:i w:val="false"/>
          <w:iCs w:val="false"/>
          <w:color w:themeColor="text1" w:val="000000"/>
          <w:sz w:val="22"/>
          <w:szCs w:val="22"/>
          <w:lang w:val="es-ES"/>
        </w:rPr>
        <w:t>NIA</w:t>
      </w:r>
      <w:r>
        <w:rPr>
          <w:rStyle w:val="Ninguno"/>
          <w:rFonts w:eastAsia="Yu Gothic" w:cs="Yu Gothic" w:ascii="Yu Gothic" w:hAnsi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  <w:t>: 10917142</w:t>
      </w:r>
    </w:p>
    <w:p>
      <w:pPr>
        <w:pStyle w:val="Normal"/>
        <w:widowControl w:val="false"/>
        <w:bidi w:val="0"/>
        <w:spacing w:lineRule="auto" w:line="240" w:before="0" w:after="0"/>
        <w:ind w:hanging="0" w:end="580"/>
        <w:jc w:val="end"/>
        <w:rPr>
          <w:rFonts w:ascii="Yu Gothic" w:hAnsi="Yu Gothic" w:eastAsia="Yu Gothic" w:cs="Yu Gothic"/>
          <w:b w:val="false"/>
          <w:bCs w:val="false"/>
          <w:i w:val="false"/>
          <w:iCs w:val="false"/>
          <w:color w:val="0000FF"/>
          <w:sz w:val="22"/>
          <w:szCs w:val="22"/>
          <w:lang w:val="es-ES"/>
        </w:rPr>
      </w:pPr>
      <w:r>
        <w:rPr>
          <w:rStyle w:val="Ninguno"/>
          <w:rFonts w:eastAsia="Yu Gothic" w:cs="Yu Gothic" w:ascii="Yu Gothic" w:hAnsi="Yu Gothic"/>
          <w:b/>
          <w:bCs/>
          <w:i w:val="false"/>
          <w:iCs w:val="false"/>
          <w:sz w:val="22"/>
          <w:szCs w:val="22"/>
          <w:lang w:val="es-ES"/>
        </w:rPr>
        <w:t>CCFF: Administración de sistemas informaticos en red</w:t>
      </w:r>
    </w:p>
    <w:p>
      <w:pPr>
        <w:pStyle w:val="Normal"/>
        <w:widowControl w:val="false"/>
        <w:bidi w:val="0"/>
        <w:spacing w:lineRule="auto" w:line="240" w:before="0" w:after="0"/>
        <w:ind w:hanging="0" w:end="580"/>
        <w:jc w:val="end"/>
        <w:rPr>
          <w:rFonts w:ascii="Yu Gothic" w:hAnsi="Yu Gothic" w:eastAsia="Yu Gothic" w:cs="Yu Gothic"/>
          <w:b w:val="false"/>
          <w:bCs w:val="false"/>
          <w:i w:val="false"/>
          <w:iCs w:val="false"/>
          <w:color w:val="0000FF"/>
          <w:sz w:val="22"/>
          <w:szCs w:val="22"/>
          <w:lang w:val="es-ES"/>
        </w:rPr>
      </w:pPr>
      <w:r>
        <w:rPr>
          <w:rStyle w:val="Ninguno"/>
          <w:rFonts w:eastAsia="Yu Gothic" w:cs="Yu Gothic" w:ascii="Yu Gothic" w:hAnsi="Yu Gothic"/>
          <w:b/>
          <w:bCs/>
          <w:i w:val="false"/>
          <w:iCs w:val="false"/>
          <w:color w:themeColor="text1" w:val="000000"/>
          <w:sz w:val="22"/>
          <w:szCs w:val="22"/>
          <w:lang w:val="es-ES"/>
        </w:rPr>
        <w:t>CÓDIGO DEL PROYECTO: IF_ASIR_02_NHL</w:t>
      </w:r>
    </w:p>
    <w:p>
      <w:pPr>
        <w:pStyle w:val="Normal"/>
        <w:widowControl w:val="false"/>
        <w:bidi w:val="0"/>
        <w:spacing w:lineRule="auto" w:line="240" w:before="0" w:after="0"/>
        <w:ind w:hanging="0" w:end="580"/>
        <w:jc w:val="end"/>
        <w:rPr>
          <w:rFonts w:ascii="Yu Gothic" w:hAnsi="Yu Gothic" w:eastAsia="Yu Gothic" w:cs="Yu Gothic"/>
          <w:b w:val="false"/>
          <w:bCs w:val="false"/>
          <w:i w:val="false"/>
          <w:iCs w:val="false"/>
          <w:color w:val="0000FF"/>
          <w:sz w:val="22"/>
          <w:szCs w:val="22"/>
          <w:lang w:val="es-ES"/>
        </w:rPr>
      </w:pPr>
      <w:r>
        <w:rPr>
          <w:rStyle w:val="Ninguno"/>
          <w:rFonts w:eastAsia="Yu Gothic" w:cs="Yu Gothic" w:ascii="Yu Gothic" w:hAnsi="Yu Gothic"/>
          <w:b/>
          <w:bCs/>
          <w:i w:val="false"/>
          <w:iCs w:val="false"/>
          <w:color w:themeColor="text1" w:val="000000"/>
          <w:sz w:val="22"/>
          <w:szCs w:val="22"/>
          <w:lang w:val="es-ES"/>
        </w:rPr>
        <w:t>FECHA DE ENTREGA</w:t>
      </w:r>
      <w:r>
        <w:rPr>
          <w:rStyle w:val="Ninguno"/>
          <w:rFonts w:eastAsia="Yu Gothic" w:cs="Yu Gothic" w:ascii="Yu Gothic" w:hAnsi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  <w:t>: 22-09-2026</w:t>
      </w:r>
    </w:p>
    <w:p>
      <w:pPr>
        <w:pStyle w:val="Normal"/>
        <w:widowControl w:val="false"/>
        <w:bidi w:val="0"/>
        <w:spacing w:lineRule="auto" w:line="240" w:before="0" w:after="0"/>
        <w:ind w:hanging="0" w:end="580"/>
        <w:jc w:val="end"/>
        <w:rPr>
          <w:rFonts w:ascii="Yu Gothic" w:hAnsi="Yu Gothic" w:eastAsia="Yu Gothic" w:cs="Yu Gothic"/>
          <w:b w:val="false"/>
          <w:bCs w:val="false"/>
          <w:i w:val="false"/>
          <w:iCs w:val="false"/>
          <w:color w:val="0000FF"/>
          <w:sz w:val="22"/>
          <w:szCs w:val="22"/>
          <w:lang w:val="es-ES"/>
        </w:rPr>
      </w:pPr>
      <w:r>
        <w:rPr>
          <w:rFonts w:eastAsia="Yu Gothic" w:cs="Yu Gothic" w:ascii="Yu Gothic" w:hAnsi="Yu Gothic"/>
          <w:b w:val="false"/>
          <w:bCs w:val="false"/>
          <w:i w:val="false"/>
          <w:iCs w:val="false"/>
          <w:color w:val="0000FF"/>
          <w:sz w:val="22"/>
          <w:szCs w:val="22"/>
          <w:lang w:val="es-ES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60"/>
        <w:rPr/>
      </w:pPr>
      <w:r>
        <w:rPr>
          <w:b/>
          <w:color w:val="00C489"/>
          <w:sz w:val="16"/>
        </w:rPr>
        <w:t>MANUAL BÁSICO DE IDENTIDAD CORPORATIVA</w:t>
      </w:r>
    </w:p>
    <w:p>
      <w:pPr>
        <w:pStyle w:val="Normal"/>
        <w:spacing w:before="0" w:after="240"/>
        <w:rPr/>
      </w:pPr>
      <w:r>
        <w:rPr>
          <w:b/>
          <w:color w:val="0B1227"/>
          <w:sz w:val="48"/>
        </w:rPr>
        <w:t>Manual de Identidad Corporativa</w:t>
      </w:r>
    </w:p>
    <w:p>
      <w:pPr>
        <w:pStyle w:val="Normal"/>
        <w:pBdr>
          <w:bottom w:val="single" w:sz="18" w:space="1" w:color="19BEFF"/>
        </w:pBdr>
        <w:spacing w:before="0" w:after="200"/>
        <w:rPr/>
      </w:pPr>
      <w:r>
        <w:rPr/>
      </w:r>
    </w:p>
    <w:p>
      <w:pPr>
        <w:pStyle w:val="Normal"/>
        <w:spacing w:lineRule="auto" w:line="269" w:before="0" w:after="160"/>
        <w:rPr/>
      </w:pPr>
      <w:r>
        <w:rPr>
          <w:b/>
          <w:i w:val="false"/>
          <w:color w:val="19BEFF"/>
          <w:sz w:val="24"/>
        </w:rPr>
        <w:t>DATASAFE RECOVERY (DSR) · VALENCIA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303520" cy="15322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1532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69" w:before="0" w:after="200"/>
        <w:jc w:val="center"/>
        <w:rPr/>
      </w:pPr>
      <w:r>
        <w:rPr>
          <w:b w:val="false"/>
          <w:i w:val="false"/>
          <w:color w:val="243047"/>
          <w:sz w:val="24"/>
        </w:rPr>
        <w:t>Continuidad de negocio y recuperación ante desastres para PYMES</w:t>
      </w:r>
    </w:p>
    <w:p>
      <w:pPr>
        <w:pStyle w:val="Normal"/>
        <w:spacing w:lineRule="auto" w:line="269" w:before="0" w:after="120"/>
        <w:jc w:val="center"/>
        <w:rPr/>
      </w:pPr>
      <w:r>
        <w:rPr>
          <w:b w:val="false"/>
          <w:i w:val="false"/>
          <w:color w:val="5B6B82"/>
          <w:sz w:val="20"/>
        </w:rPr>
        <w:t>Documento de referencia para mantener una identidad coherente en todos los soportes de comunicación de la empresa.</w:t>
      </w:r>
    </w:p>
    <w:p>
      <w:pPr>
        <w:pStyle w:val="Normal"/>
        <w:spacing w:before="160" w:after="100"/>
        <w:rPr/>
      </w:pPr>
      <w:r>
        <w:rPr>
          <w:b/>
          <w:color w:val="00C489"/>
          <w:sz w:val="40"/>
        </w:rPr>
        <w:t>Índice</w:t>
      </w:r>
    </w:p>
    <w:p>
      <w:pPr>
        <w:pStyle w:val="Normal"/>
        <w:spacing w:lineRule="auto" w:line="269" w:before="0" w:after="60"/>
        <w:rPr/>
      </w:pPr>
      <w:r>
        <w:rPr>
          <w:b w:val="false"/>
          <w:i w:val="false"/>
          <w:color w:val="243047"/>
          <w:sz w:val="20"/>
        </w:rPr>
        <w:t>01 · Presentación de la empresa</w:t>
      </w:r>
    </w:p>
    <w:p>
      <w:pPr>
        <w:pStyle w:val="Normal"/>
        <w:spacing w:lineRule="auto" w:line="269" w:before="0" w:after="60"/>
        <w:rPr/>
      </w:pPr>
      <w:r>
        <w:rPr>
          <w:b w:val="false"/>
          <w:i w:val="false"/>
          <w:color w:val="243047"/>
          <w:sz w:val="20"/>
        </w:rPr>
        <w:t>02 · Cultura corporativa: misión, visión y valores</w:t>
      </w:r>
    </w:p>
    <w:p>
      <w:pPr>
        <w:pStyle w:val="Normal"/>
        <w:spacing w:lineRule="auto" w:line="269" w:before="0" w:after="60"/>
        <w:rPr/>
      </w:pPr>
      <w:r>
        <w:rPr>
          <w:b w:val="false"/>
          <w:i w:val="false"/>
          <w:color w:val="243047"/>
          <w:sz w:val="20"/>
        </w:rPr>
        <w:t>03 · ODS y Agenda 2030</w:t>
      </w:r>
    </w:p>
    <w:p>
      <w:pPr>
        <w:pStyle w:val="Normal"/>
        <w:spacing w:lineRule="auto" w:line="269" w:before="0" w:after="60"/>
        <w:rPr/>
      </w:pPr>
      <w:r>
        <w:rPr>
          <w:b w:val="false"/>
          <w:i w:val="false"/>
          <w:color w:val="243047"/>
          <w:sz w:val="20"/>
        </w:rPr>
        <w:t>04 · Logotipo e imagotipo</w:t>
      </w:r>
    </w:p>
    <w:p>
      <w:pPr>
        <w:pStyle w:val="Normal"/>
        <w:spacing w:lineRule="auto" w:line="269" w:before="0" w:after="60"/>
        <w:rPr/>
      </w:pPr>
      <w:r>
        <w:rPr>
          <w:b w:val="false"/>
          <w:i w:val="false"/>
          <w:color w:val="243047"/>
          <w:sz w:val="20"/>
        </w:rPr>
        <w:t>05 · Gama cromática corporativa</w:t>
      </w:r>
    </w:p>
    <w:p>
      <w:pPr>
        <w:pStyle w:val="Normal"/>
        <w:spacing w:lineRule="auto" w:line="269" w:before="0" w:after="60"/>
        <w:rPr/>
      </w:pPr>
      <w:r>
        <w:rPr>
          <w:b w:val="false"/>
          <w:i w:val="false"/>
          <w:color w:val="243047"/>
          <w:sz w:val="20"/>
        </w:rPr>
        <w:t>06 · Tipografías corporativas</w:t>
      </w:r>
    </w:p>
    <w:p>
      <w:pPr>
        <w:pStyle w:val="Normal"/>
        <w:spacing w:lineRule="auto" w:line="269" w:before="0" w:after="60"/>
        <w:rPr/>
      </w:pPr>
      <w:r>
        <w:rPr>
          <w:b w:val="false"/>
          <w:i w:val="false"/>
          <w:color w:val="243047"/>
          <w:sz w:val="20"/>
        </w:rPr>
        <w:t>07 · Usos autorizados e incorrectos</w:t>
      </w:r>
    </w:p>
    <w:p>
      <w:pPr>
        <w:pStyle w:val="Normal"/>
        <w:spacing w:lineRule="auto" w:line="269" w:before="0" w:after="60"/>
        <w:rPr/>
      </w:pPr>
      <w:r>
        <w:rPr>
          <w:b w:val="false"/>
          <w:i w:val="false"/>
          <w:color w:val="243047"/>
          <w:sz w:val="20"/>
        </w:rPr>
        <w:t>08 · Aplicación y control de la identidad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60"/>
        <w:rPr/>
      </w:pPr>
      <w:r>
        <w:rPr>
          <w:b/>
          <w:color w:val="00C489"/>
          <w:sz w:val="16"/>
        </w:rPr>
        <w:t>MANUAL BÁSICO DE IDENTIDAD CORPORATIVA</w:t>
      </w:r>
    </w:p>
    <w:p>
      <w:pPr>
        <w:pStyle w:val="Normal"/>
        <w:spacing w:before="0" w:after="240"/>
        <w:rPr/>
      </w:pPr>
      <w:r>
        <w:rPr>
          <w:b/>
          <w:color w:val="0B1227"/>
          <w:sz w:val="48"/>
        </w:rPr>
        <w:t>01. Presentación de la empresa</w:t>
      </w:r>
    </w:p>
    <w:p>
      <w:pPr>
        <w:pStyle w:val="Normal"/>
        <w:pBdr>
          <w:bottom w:val="single" w:sz="18" w:space="1" w:color="19BEFF"/>
        </w:pBdr>
        <w:spacing w:before="0" w:after="200"/>
        <w:rPr/>
      </w:pPr>
      <w:r>
        <w:rPr/>
      </w:r>
    </w:p>
    <w:p>
      <w:pPr>
        <w:pStyle w:val="Normal"/>
        <w:spacing w:before="100" w:after="100"/>
        <w:rPr/>
      </w:pPr>
      <w:r>
        <w:rPr>
          <w:b/>
          <w:color w:val="19BEFF"/>
          <w:sz w:val="26"/>
        </w:rPr>
        <w:t>Nombre comercial</w:t>
      </w:r>
    </w:p>
    <w:p>
      <w:pPr>
        <w:pStyle w:val="Normal"/>
        <w:spacing w:lineRule="auto" w:line="269" w:before="0" w:after="100"/>
        <w:rPr/>
      </w:pPr>
      <w:r>
        <w:rPr>
          <w:b w:val="false"/>
          <w:i w:val="false"/>
          <w:color w:val="243047"/>
          <w:sz w:val="20"/>
        </w:rPr>
        <w:t>DataSafe Recovery (DSR).</w:t>
      </w:r>
    </w:p>
    <w:p>
      <w:pPr>
        <w:pStyle w:val="Normal"/>
        <w:spacing w:before="100" w:after="100"/>
        <w:rPr/>
      </w:pPr>
      <w:r>
        <w:rPr>
          <w:b/>
          <w:color w:val="19BEFF"/>
          <w:sz w:val="26"/>
        </w:rPr>
        <w:t>Actividad</w:t>
      </w:r>
    </w:p>
    <w:p>
      <w:pPr>
        <w:pStyle w:val="Normal"/>
        <w:spacing w:lineRule="auto" w:line="269" w:before="0" w:after="100"/>
        <w:rPr/>
      </w:pPr>
      <w:r>
        <w:rPr>
          <w:b w:val="false"/>
          <w:i w:val="false"/>
          <w:color w:val="243047"/>
          <w:sz w:val="20"/>
        </w:rPr>
        <w:t>Empresa tecnológica especializada en continuidad de negocio, protección de datos y recuperación ante desastres informáticos, con foco en pequeñas y medianas empresas de la provincia de Valencia.</w:t>
      </w:r>
    </w:p>
    <w:p>
      <w:pPr>
        <w:pStyle w:val="Normal"/>
        <w:spacing w:before="100" w:after="100"/>
        <w:rPr/>
      </w:pPr>
      <w:r>
        <w:rPr>
          <w:b/>
          <w:color w:val="19BEFF"/>
          <w:sz w:val="26"/>
        </w:rPr>
        <w:t>Servicios principales</w:t>
      </w:r>
    </w:p>
    <w:p>
      <w:pPr>
        <w:pStyle w:val="Normal"/>
        <w:rPr/>
      </w:pPr>
      <w:r>
        <w:rPr/>
      </w:r>
    </w:p>
    <w:p>
      <w:pPr>
        <w:pStyle w:val="ListBullet"/>
        <w:spacing w:before="0" w:after="80"/>
        <w:rPr/>
      </w:pPr>
      <w:r>
        <w:rPr>
          <w:rFonts w:ascii="Aptos" w:hAnsi="Aptos"/>
          <w:b/>
          <w:color w:val="00C489"/>
          <w:sz w:val="20"/>
        </w:rPr>
        <w:t xml:space="preserve">Recuperación ante incidentes: </w:t>
      </w:r>
      <w:r>
        <w:rPr>
          <w:rFonts w:ascii="Aptos" w:hAnsi="Aptos"/>
          <w:b w:val="false"/>
          <w:color w:val="243047"/>
          <w:sz w:val="20"/>
        </w:rPr>
        <w:t>planes de recuperación frente a fallos, cortes, ciberataques y pérdida accidental de datos.</w:t>
      </w:r>
    </w:p>
    <w:p>
      <w:pPr>
        <w:pStyle w:val="ListBullet"/>
        <w:spacing w:before="0" w:after="80"/>
        <w:rPr/>
      </w:pPr>
      <w:r>
        <w:rPr>
          <w:rFonts w:ascii="Aptos" w:hAnsi="Aptos"/>
          <w:b/>
          <w:color w:val="00C489"/>
          <w:sz w:val="20"/>
        </w:rPr>
        <w:t xml:space="preserve">Continuidad de negocio: </w:t>
      </w:r>
      <w:r>
        <w:rPr>
          <w:rFonts w:ascii="Aptos" w:hAnsi="Aptos"/>
          <w:b w:val="false"/>
          <w:color w:val="243047"/>
          <w:sz w:val="20"/>
        </w:rPr>
        <w:t>definición de objetivos RTO/RPO y procedimientos para reducir el tiempo de interrupción.</w:t>
      </w:r>
    </w:p>
    <w:p>
      <w:pPr>
        <w:pStyle w:val="ListBullet"/>
        <w:spacing w:before="0" w:after="80"/>
        <w:rPr/>
      </w:pPr>
      <w:r>
        <w:rPr>
          <w:rFonts w:ascii="Aptos" w:hAnsi="Aptos"/>
          <w:b/>
          <w:color w:val="00C489"/>
          <w:sz w:val="20"/>
        </w:rPr>
        <w:t xml:space="preserve">Infraestructura de recuperación: </w:t>
      </w:r>
      <w:r>
        <w:rPr>
          <w:rFonts w:ascii="Aptos" w:hAnsi="Aptos"/>
          <w:b w:val="false"/>
          <w:color w:val="243047"/>
          <w:sz w:val="20"/>
        </w:rPr>
        <w:t>entorno de recuperación externo y aislado, con tecnologías de virtualización y almacenamiento.</w:t>
      </w:r>
    </w:p>
    <w:p>
      <w:pPr>
        <w:pStyle w:val="ListBullet"/>
        <w:spacing w:before="0" w:after="80"/>
        <w:rPr/>
      </w:pPr>
      <w:r>
        <w:rPr>
          <w:rFonts w:ascii="Aptos" w:hAnsi="Aptos"/>
          <w:b/>
          <w:color w:val="00C489"/>
          <w:sz w:val="20"/>
        </w:rPr>
        <w:t xml:space="preserve">Asesoramiento y simulacros: </w:t>
      </w:r>
      <w:r>
        <w:rPr>
          <w:rFonts w:ascii="Aptos" w:hAnsi="Aptos"/>
          <w:b w:val="false"/>
          <w:color w:val="243047"/>
          <w:sz w:val="20"/>
        </w:rPr>
        <w:t>consultoría, pruebas de recuperación e informes para mejorar la preparación de la organización.</w:t>
      </w:r>
    </w:p>
    <w:p>
      <w:pPr>
        <w:pStyle w:val="Normal"/>
        <w:spacing w:before="100" w:after="100"/>
        <w:rPr/>
      </w:pPr>
      <w:r>
        <w:rPr>
          <w:b/>
          <w:color w:val="19BEFF"/>
          <w:sz w:val="26"/>
        </w:rPr>
        <w:t>Público objetivo</w:t>
      </w:r>
    </w:p>
    <w:p>
      <w:pPr>
        <w:pStyle w:val="Normal"/>
        <w:spacing w:lineRule="auto" w:line="269" w:before="0" w:after="100"/>
        <w:rPr/>
      </w:pPr>
      <w:r>
        <w:rPr>
          <w:b w:val="false"/>
          <w:i w:val="false"/>
          <w:color w:val="243047"/>
          <w:sz w:val="20"/>
        </w:rPr>
        <w:t>PYMES de la provincia de Valencia con infraestructura crítica o dependencia significativa de sus sistemas: logística, agroalimentación, industria, clínicas, despachos profesionales y comercio online.</w:t>
      </w:r>
    </w:p>
    <w:p>
      <w:pPr>
        <w:pStyle w:val="Normal"/>
        <w:spacing w:before="100" w:after="100"/>
        <w:rPr/>
      </w:pPr>
      <w:r>
        <w:rPr>
          <w:b/>
          <w:color w:val="19BEFF"/>
          <w:sz w:val="26"/>
        </w:rPr>
        <w:t>Descripción y propuesta de valor</w:t>
      </w:r>
    </w:p>
    <w:p>
      <w:pPr>
        <w:pStyle w:val="Normal"/>
        <w:spacing w:lineRule="auto" w:line="269" w:before="0" w:after="100"/>
        <w:rPr/>
      </w:pPr>
      <w:r>
        <w:rPr>
          <w:b w:val="false"/>
          <w:i w:val="false"/>
          <w:color w:val="243047"/>
          <w:sz w:val="20"/>
        </w:rPr>
        <w:t>DSR ofrece una solución cercana y especializada para que las empresas puedan recuperar sus sistemas y datos de forma planificada. La propuesta combina automatización, monitorización continua, objetivos de recuperación definidos y acompañamiento técnico.</w:t>
      </w:r>
    </w:p>
    <w:p>
      <w:pPr>
        <w:pStyle w:val="Normal"/>
        <w:spacing w:before="100" w:after="100"/>
        <w:rPr/>
      </w:pPr>
      <w:r>
        <w:rPr>
          <w:b/>
          <w:color w:val="19BEFF"/>
          <w:sz w:val="26"/>
        </w:rPr>
        <w:t>Eslogan / claim</w:t>
      </w:r>
    </w:p>
    <w:p>
      <w:pPr>
        <w:pStyle w:val="Normal"/>
        <w:spacing w:lineRule="auto" w:line="269" w:before="0" w:after="100"/>
        <w:rPr/>
      </w:pPr>
      <w:r>
        <w:rPr>
          <w:b/>
          <w:i w:val="false"/>
          <w:color w:val="00C489"/>
          <w:sz w:val="26"/>
        </w:rPr>
        <w:t>“</w:t>
      </w:r>
      <w:r>
        <w:rPr>
          <w:b/>
          <w:i w:val="false"/>
          <w:color w:val="00C489"/>
          <w:sz w:val="26"/>
        </w:rPr>
        <w:t>Tus datos a salvo. Tu negocio en marcha.”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60"/>
        <w:rPr/>
      </w:pPr>
      <w:r>
        <w:rPr>
          <w:b/>
          <w:color w:val="00C489"/>
          <w:sz w:val="16"/>
        </w:rPr>
        <w:t>MANUAL BÁSICO DE IDENTIDAD CORPORATIVA</w:t>
      </w:r>
    </w:p>
    <w:p>
      <w:pPr>
        <w:pStyle w:val="Normal"/>
        <w:spacing w:before="0" w:after="240"/>
        <w:rPr/>
      </w:pPr>
      <w:r>
        <w:rPr>
          <w:b/>
          <w:color w:val="0B1227"/>
          <w:sz w:val="48"/>
        </w:rPr>
        <w:t>02. Cultura corporativa</w:t>
      </w:r>
    </w:p>
    <w:p>
      <w:pPr>
        <w:pStyle w:val="Normal"/>
        <w:pBdr>
          <w:bottom w:val="single" w:sz="18" w:space="1" w:color="19BEFF"/>
        </w:pBdr>
        <w:spacing w:before="0" w:after="200"/>
        <w:rPr/>
      </w:pPr>
      <w:r>
        <w:rPr/>
      </w:r>
    </w:p>
    <w:p>
      <w:pPr>
        <w:pStyle w:val="Normal"/>
        <w:spacing w:before="100" w:after="100"/>
        <w:rPr/>
      </w:pPr>
      <w:r>
        <w:rPr>
          <w:b/>
          <w:color w:val="19BEFF"/>
          <w:sz w:val="26"/>
        </w:rPr>
        <w:t>Misión</w:t>
      </w:r>
    </w:p>
    <w:p>
      <w:pPr>
        <w:pStyle w:val="Normal"/>
        <w:spacing w:lineRule="auto" w:line="269" w:before="0" w:after="100"/>
        <w:rPr/>
      </w:pPr>
      <w:r>
        <w:rPr>
          <w:b w:val="false"/>
          <w:i w:val="false"/>
          <w:color w:val="243047"/>
          <w:sz w:val="20"/>
        </w:rPr>
        <w:t>Proteger la información y la continuidad operativa de las PYMES valencianas mediante copias de seguridad fiables, recuperación ante desastres y planes de continuidad adaptados a sus necesidades, con un servicio cercano, transparente y técnicamente sólido.</w:t>
      </w:r>
    </w:p>
    <w:p>
      <w:pPr>
        <w:pStyle w:val="Normal"/>
        <w:spacing w:before="100" w:after="100"/>
        <w:rPr/>
      </w:pPr>
      <w:r>
        <w:rPr>
          <w:b/>
          <w:color w:val="19BEFF"/>
          <w:sz w:val="26"/>
        </w:rPr>
        <w:t>Visión</w:t>
      </w:r>
    </w:p>
    <w:p>
      <w:pPr>
        <w:pStyle w:val="Normal"/>
        <w:spacing w:lineRule="auto" w:line="269" w:before="0" w:after="100"/>
        <w:rPr/>
      </w:pPr>
      <w:r>
        <w:rPr>
          <w:b w:val="false"/>
          <w:i w:val="false"/>
          <w:color w:val="243047"/>
          <w:sz w:val="20"/>
        </w:rPr>
        <w:t>Convertirnos en un proveedor de referencia en Valencia en continuidad de negocio para PYMES, reconocidos por la confianza de nuestros clientes, la eficacia de las recuperaciones y la mejora continua de nuestros servicios.</w:t>
      </w:r>
    </w:p>
    <w:p>
      <w:pPr>
        <w:pStyle w:val="Normal"/>
        <w:spacing w:before="100" w:after="100"/>
        <w:rPr/>
      </w:pPr>
      <w:r>
        <w:rPr>
          <w:b/>
          <w:color w:val="19BEFF"/>
          <w:sz w:val="26"/>
        </w:rPr>
        <w:t>Valores corporativos</w:t>
      </w:r>
    </w:p>
    <w:p>
      <w:pPr>
        <w:pStyle w:val="ListBullet"/>
        <w:spacing w:before="0" w:after="80"/>
        <w:rPr/>
      </w:pPr>
      <w:r>
        <w:rPr>
          <w:rFonts w:ascii="Aptos" w:hAnsi="Aptos"/>
          <w:b/>
          <w:color w:val="00C489"/>
          <w:sz w:val="20"/>
        </w:rPr>
        <w:t xml:space="preserve">Fiabilidad y responsabilidad. </w:t>
      </w:r>
      <w:r>
        <w:rPr>
          <w:rFonts w:ascii="Aptos" w:hAnsi="Aptos"/>
          <w:b w:val="false"/>
          <w:color w:val="243047"/>
          <w:sz w:val="20"/>
        </w:rPr>
        <w:t>Diseñamos y comprobamos los procedimientos de copia y recuperación; no damos por válida una copia sin verificarla.</w:t>
      </w:r>
    </w:p>
    <w:p>
      <w:pPr>
        <w:pStyle w:val="ListBullet"/>
        <w:spacing w:before="0" w:after="80"/>
        <w:rPr/>
      </w:pPr>
      <w:r>
        <w:rPr>
          <w:rFonts w:ascii="Aptos" w:hAnsi="Aptos"/>
          <w:b/>
          <w:color w:val="00C489"/>
          <w:sz w:val="20"/>
        </w:rPr>
        <w:t xml:space="preserve">Seguridad y confidencialidad. </w:t>
      </w:r>
      <w:r>
        <w:rPr>
          <w:rFonts w:ascii="Aptos" w:hAnsi="Aptos"/>
          <w:b w:val="false"/>
          <w:color w:val="243047"/>
          <w:sz w:val="20"/>
        </w:rPr>
        <w:t>Aplicamos controles de acceso, aislamiento, actualización y protección de la información del cliente.</w:t>
      </w:r>
    </w:p>
    <w:p>
      <w:pPr>
        <w:pStyle w:val="ListBullet"/>
        <w:spacing w:before="0" w:after="80"/>
        <w:rPr/>
      </w:pPr>
      <w:r>
        <w:rPr>
          <w:rFonts w:ascii="Aptos" w:hAnsi="Aptos"/>
          <w:b/>
          <w:color w:val="00C489"/>
          <w:sz w:val="20"/>
        </w:rPr>
        <w:t xml:space="preserve">Cercanía y transparencia. </w:t>
      </w:r>
      <w:r>
        <w:rPr>
          <w:rFonts w:ascii="Aptos" w:hAnsi="Aptos"/>
          <w:b w:val="false"/>
          <w:color w:val="243047"/>
          <w:sz w:val="20"/>
        </w:rPr>
        <w:t>Explicamos riesgos, alcance, niveles de servicio y resultados en un lenguaje comprensible.</w:t>
      </w:r>
    </w:p>
    <w:p>
      <w:pPr>
        <w:pStyle w:val="ListBullet"/>
        <w:spacing w:before="0" w:after="80"/>
        <w:rPr/>
      </w:pPr>
      <w:r>
        <w:rPr>
          <w:rFonts w:ascii="Aptos" w:hAnsi="Aptos"/>
          <w:b/>
          <w:color w:val="00C489"/>
          <w:sz w:val="20"/>
        </w:rPr>
        <w:t xml:space="preserve">Prevención y resiliencia. </w:t>
      </w:r>
      <w:r>
        <w:rPr>
          <w:rFonts w:ascii="Aptos" w:hAnsi="Aptos"/>
          <w:b w:val="false"/>
          <w:color w:val="243047"/>
          <w:sz w:val="20"/>
        </w:rPr>
        <w:t>Priorizamos la preparación, los simulacros y la reducción del impacto antes de que ocurra un incidente.</w:t>
      </w:r>
    </w:p>
    <w:p>
      <w:pPr>
        <w:pStyle w:val="ListBullet"/>
        <w:spacing w:before="0" w:after="80"/>
        <w:rPr/>
      </w:pPr>
      <w:r>
        <w:rPr>
          <w:rFonts w:ascii="Aptos" w:hAnsi="Aptos"/>
          <w:b/>
          <w:color w:val="00C489"/>
          <w:sz w:val="20"/>
        </w:rPr>
        <w:t xml:space="preserve">Innovación útil. </w:t>
      </w:r>
      <w:r>
        <w:rPr>
          <w:rFonts w:ascii="Aptos" w:hAnsi="Aptos"/>
          <w:b w:val="false"/>
          <w:color w:val="243047"/>
          <w:sz w:val="20"/>
        </w:rPr>
        <w:t>Elegimos tecnologías que aporten mejoras medibles en disponibilidad, recuperación y eficiencia.</w:t>
      </w:r>
    </w:p>
    <w:p>
      <w:pPr>
        <w:pStyle w:val="ListBullet"/>
        <w:spacing w:before="0" w:after="80"/>
        <w:rPr/>
      </w:pPr>
      <w:r>
        <w:rPr>
          <w:rFonts w:ascii="Aptos" w:hAnsi="Aptos"/>
          <w:b/>
          <w:color w:val="00C489"/>
          <w:sz w:val="20"/>
        </w:rPr>
        <w:t xml:space="preserve">Sostenibilidad y eficiencia. </w:t>
      </w:r>
      <w:r>
        <w:rPr>
          <w:rFonts w:ascii="Aptos" w:hAnsi="Aptos"/>
          <w:b w:val="false"/>
          <w:color w:val="243047"/>
          <w:sz w:val="20"/>
        </w:rPr>
        <w:t>Optimizamos almacenamiento y recursos tecnológicos, alargando la vida útil de los equipos cuando sea viable.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60"/>
        <w:rPr/>
      </w:pPr>
      <w:r>
        <w:rPr>
          <w:b/>
          <w:color w:val="00C489"/>
          <w:sz w:val="16"/>
        </w:rPr>
        <w:t>MANUAL BÁSICO DE IDENTIDAD CORPORATIVA</w:t>
      </w:r>
    </w:p>
    <w:p>
      <w:pPr>
        <w:pStyle w:val="Normal"/>
        <w:spacing w:before="0" w:after="240"/>
        <w:rPr/>
      </w:pPr>
      <w:r>
        <w:rPr>
          <w:b/>
          <w:color w:val="0B1227"/>
          <w:sz w:val="48"/>
        </w:rPr>
        <w:t>03. ODS y Agenda 2030</w:t>
      </w:r>
    </w:p>
    <w:p>
      <w:pPr>
        <w:pStyle w:val="Normal"/>
        <w:pBdr>
          <w:bottom w:val="single" w:sz="18" w:space="1" w:color="19BEFF"/>
        </w:pBdr>
        <w:spacing w:before="0" w:after="200"/>
        <w:rPr/>
      </w:pPr>
      <w:r>
        <w:rPr/>
      </w:r>
    </w:p>
    <w:p>
      <w:pPr>
        <w:pStyle w:val="Normal"/>
        <w:spacing w:lineRule="auto" w:line="269" w:before="0" w:after="160"/>
        <w:rPr/>
      </w:pPr>
      <w:r>
        <w:rPr>
          <w:b w:val="false"/>
          <w:i w:val="false"/>
          <w:color w:val="5B6B82"/>
          <w:sz w:val="20"/>
        </w:rPr>
        <w:t>DSR relaciona su actividad con los Objetivos de Desarrollo Sostenible (ODS) mediante acciones concretas y métricas revisables. Los indicadores siguientes son propuestas de seguimiento interno, no resultados ya alcanzados.</w:t>
      </w:r>
    </w:p>
    <w:p>
      <w:pPr>
        <w:pStyle w:val="Normal"/>
        <w:spacing w:before="100" w:after="100"/>
        <w:rPr/>
      </w:pPr>
      <w:r>
        <w:rPr>
          <w:b/>
          <w:color w:val="19BEFF"/>
          <w:sz w:val="26"/>
        </w:rPr>
        <w:t>ODS 9 · Industria, innovación e infraestructura</w:t>
      </w:r>
    </w:p>
    <w:p>
      <w:pPr>
        <w:pStyle w:val="Normal"/>
        <w:spacing w:lineRule="auto" w:line="269" w:before="0" w:after="100"/>
        <w:rPr/>
      </w:pPr>
      <w:r>
        <w:rPr>
          <w:b w:val="false"/>
          <w:i w:val="false"/>
          <w:color w:val="243047"/>
          <w:sz w:val="20"/>
        </w:rPr>
        <w:t>Relación: Una infraestructura digital fiable y resiliente ayuda a las empresas a mantener sus servicios y recuperarse ante incidentes.</w:t>
      </w:r>
    </w:p>
    <w:p>
      <w:pPr>
        <w:pStyle w:val="ListBullet"/>
        <w:spacing w:before="0" w:after="80"/>
        <w:rPr/>
      </w:pPr>
      <w:r>
        <w:rPr>
          <w:rFonts w:ascii="Aptos" w:hAnsi="Aptos"/>
          <w:b/>
          <w:color w:val="00C489"/>
          <w:sz w:val="20"/>
        </w:rPr>
        <w:t xml:space="preserve">Acciones concretas:  </w:t>
      </w:r>
      <w:r>
        <w:rPr>
          <w:rFonts w:ascii="Aptos" w:hAnsi="Aptos"/>
          <w:b w:val="false"/>
          <w:color w:val="243047"/>
          <w:sz w:val="20"/>
        </w:rPr>
        <w:t>Probar periódicamente los procedimientos de recuperación, documentar RTO/RPO por cliente y mejorar la automatización de backups.</w:t>
      </w:r>
    </w:p>
    <w:p>
      <w:pPr>
        <w:pStyle w:val="ListBullet"/>
        <w:spacing w:before="0" w:after="80"/>
        <w:rPr/>
      </w:pPr>
      <w:r>
        <w:rPr>
          <w:rFonts w:ascii="Aptos" w:hAnsi="Aptos"/>
          <w:b/>
          <w:color w:val="00C489"/>
          <w:sz w:val="20"/>
        </w:rPr>
        <w:t xml:space="preserve">Indicadores:  </w:t>
      </w:r>
      <w:r>
        <w:rPr>
          <w:rFonts w:ascii="Aptos" w:hAnsi="Aptos"/>
          <w:b w:val="false"/>
          <w:color w:val="243047"/>
          <w:sz w:val="20"/>
        </w:rPr>
        <w:t>Porcentaje de pruebas de restauración exitosas; clientes con plan actualizado; tiempo medio real de recuperación.</w:t>
      </w:r>
    </w:p>
    <w:p>
      <w:pPr>
        <w:pStyle w:val="Normal"/>
        <w:spacing w:before="100" w:after="100"/>
        <w:rPr/>
      </w:pPr>
      <w:r>
        <w:rPr>
          <w:b/>
          <w:color w:val="19BEFF"/>
          <w:sz w:val="26"/>
        </w:rPr>
        <w:t>ODS 8 · Trabajo decente y crecimiento económico</w:t>
      </w:r>
    </w:p>
    <w:p>
      <w:pPr>
        <w:pStyle w:val="Normal"/>
        <w:spacing w:lineRule="auto" w:line="269" w:before="0" w:after="100"/>
        <w:rPr/>
      </w:pPr>
      <w:r>
        <w:rPr>
          <w:b w:val="false"/>
          <w:i w:val="false"/>
          <w:color w:val="243047"/>
          <w:sz w:val="20"/>
        </w:rPr>
        <w:t>Relación: Reducir interrupciones tecnológicas contribuye a la estabilidad operativa y económica de las PYMES.</w:t>
      </w:r>
    </w:p>
    <w:p>
      <w:pPr>
        <w:pStyle w:val="ListBullet"/>
        <w:spacing w:before="0" w:after="80"/>
        <w:rPr/>
      </w:pPr>
      <w:r>
        <w:rPr>
          <w:rFonts w:ascii="Aptos" w:hAnsi="Aptos"/>
          <w:b/>
          <w:color w:val="00C489"/>
          <w:sz w:val="20"/>
        </w:rPr>
        <w:t xml:space="preserve">Acciones concretas:  </w:t>
      </w:r>
      <w:r>
        <w:rPr>
          <w:rFonts w:ascii="Aptos" w:hAnsi="Aptos"/>
          <w:b w:val="false"/>
          <w:color w:val="243047"/>
          <w:sz w:val="20"/>
        </w:rPr>
        <w:t>Ofrecer formación en continuidad y ciberhigiene, mantener procedimientos claros y promover condiciones de trabajo seguras.</w:t>
      </w:r>
    </w:p>
    <w:p>
      <w:pPr>
        <w:pStyle w:val="ListBullet"/>
        <w:spacing w:before="0" w:after="80"/>
        <w:rPr/>
      </w:pPr>
      <w:r>
        <w:rPr>
          <w:rFonts w:ascii="Aptos" w:hAnsi="Aptos"/>
          <w:b/>
          <w:color w:val="00C489"/>
          <w:sz w:val="20"/>
        </w:rPr>
        <w:t xml:space="preserve">Indicadores:  </w:t>
      </w:r>
      <w:r>
        <w:rPr>
          <w:rFonts w:ascii="Aptos" w:hAnsi="Aptos"/>
          <w:b w:val="false"/>
          <w:color w:val="243047"/>
          <w:sz w:val="20"/>
        </w:rPr>
        <w:t>Horas de formación por persona al año; sesiones formativas a clientes; satisfacción tras una intervención.</w:t>
      </w:r>
    </w:p>
    <w:p>
      <w:pPr>
        <w:pStyle w:val="Normal"/>
        <w:spacing w:before="100" w:after="100"/>
        <w:rPr/>
      </w:pPr>
      <w:r>
        <w:rPr>
          <w:b/>
          <w:color w:val="19BEFF"/>
          <w:sz w:val="26"/>
        </w:rPr>
        <w:t>ODS 12 · Producción y consumo responsables</w:t>
      </w:r>
    </w:p>
    <w:p>
      <w:pPr>
        <w:pStyle w:val="Normal"/>
        <w:spacing w:lineRule="auto" w:line="269" w:before="0" w:after="100"/>
        <w:rPr/>
      </w:pPr>
      <w:r>
        <w:rPr>
          <w:b w:val="false"/>
          <w:i w:val="false"/>
          <w:color w:val="243047"/>
          <w:sz w:val="20"/>
        </w:rPr>
        <w:t>Relación: La gestión eficiente de servidores, almacenamiento y equipos puede reducir desperdicios y consumo innecesario.</w:t>
      </w:r>
    </w:p>
    <w:p>
      <w:pPr>
        <w:pStyle w:val="ListBullet"/>
        <w:spacing w:before="0" w:after="80"/>
        <w:rPr/>
      </w:pPr>
      <w:r>
        <w:rPr>
          <w:rFonts w:ascii="Aptos" w:hAnsi="Aptos"/>
          <w:b/>
          <w:color w:val="00C489"/>
          <w:sz w:val="20"/>
        </w:rPr>
        <w:t xml:space="preserve">Acciones concretas:  </w:t>
      </w:r>
      <w:r>
        <w:rPr>
          <w:rFonts w:ascii="Aptos" w:hAnsi="Aptos"/>
          <w:b w:val="false"/>
          <w:color w:val="243047"/>
          <w:sz w:val="20"/>
        </w:rPr>
        <w:t>Optimizar retención de copias, consolidar recursos de forma segura y priorizar reparación, reutilización y reciclaje responsable.</w:t>
      </w:r>
    </w:p>
    <w:p>
      <w:pPr>
        <w:pStyle w:val="ListBullet"/>
        <w:spacing w:before="0" w:after="80"/>
        <w:rPr/>
      </w:pPr>
      <w:r>
        <w:rPr>
          <w:rFonts w:ascii="Aptos" w:hAnsi="Aptos"/>
          <w:b/>
          <w:color w:val="00C489"/>
          <w:sz w:val="20"/>
        </w:rPr>
        <w:t xml:space="preserve">Indicadores:  </w:t>
      </w:r>
      <w:r>
        <w:rPr>
          <w:rFonts w:ascii="Aptos" w:hAnsi="Aptos"/>
          <w:b w:val="false"/>
          <w:color w:val="243047"/>
          <w:sz w:val="20"/>
        </w:rPr>
        <w:t>Equipos reutilizados o reciclados de forma certificada; evolución del consumo energético; almacenamiento optimizado.</w:t>
      </w:r>
    </w:p>
    <w:p>
      <w:pPr>
        <w:pStyle w:val="Normal"/>
        <w:spacing w:before="100" w:after="100"/>
        <w:rPr/>
      </w:pPr>
      <w:r>
        <w:rPr>
          <w:b/>
          <w:color w:val="19BEFF"/>
          <w:sz w:val="26"/>
        </w:rPr>
        <w:t>ODS 13 · Acción por el clima</w:t>
      </w:r>
    </w:p>
    <w:p>
      <w:pPr>
        <w:pStyle w:val="Normal"/>
        <w:spacing w:lineRule="auto" w:line="269" w:before="0" w:after="100"/>
        <w:rPr/>
      </w:pPr>
      <w:r>
        <w:rPr>
          <w:b w:val="false"/>
          <w:i w:val="false"/>
          <w:color w:val="243047"/>
          <w:sz w:val="20"/>
        </w:rPr>
        <w:t>Relación: La eficiencia energética de la infraestructura TIC y la continuidad ante eventos disruptivos mejoran la preparación.</w:t>
      </w:r>
    </w:p>
    <w:p>
      <w:pPr>
        <w:pStyle w:val="ListBullet"/>
        <w:spacing w:before="0" w:after="80"/>
        <w:rPr/>
      </w:pPr>
      <w:r>
        <w:rPr>
          <w:rFonts w:ascii="Aptos" w:hAnsi="Aptos"/>
          <w:b/>
          <w:color w:val="00C489"/>
          <w:sz w:val="20"/>
        </w:rPr>
        <w:t xml:space="preserve">Acciones concretas:  </w:t>
      </w:r>
      <w:r>
        <w:rPr>
          <w:rFonts w:ascii="Aptos" w:hAnsi="Aptos"/>
          <w:b w:val="false"/>
          <w:color w:val="243047"/>
          <w:sz w:val="20"/>
        </w:rPr>
        <w:t>Revisar consumos, favorecer equipos eficientes y documentar medidas ante incidencias ambientales en instalaciones.</w:t>
      </w:r>
    </w:p>
    <w:p>
      <w:pPr>
        <w:pStyle w:val="ListBullet"/>
        <w:spacing w:before="0" w:after="80"/>
        <w:rPr/>
      </w:pPr>
      <w:r>
        <w:rPr>
          <w:rFonts w:ascii="Aptos" w:hAnsi="Aptos"/>
          <w:b/>
          <w:color w:val="00C489"/>
          <w:sz w:val="20"/>
        </w:rPr>
        <w:t xml:space="preserve">Indicadores:  </w:t>
      </w:r>
      <w:r>
        <w:rPr>
          <w:rFonts w:ascii="Aptos" w:hAnsi="Aptos"/>
          <w:b w:val="false"/>
          <w:color w:val="243047"/>
          <w:sz w:val="20"/>
        </w:rPr>
        <w:t>Consumo energético anual estimado; equipos con criterios de eficiencia; planes revisados con escenarios de interrupción.</w:t>
      </w:r>
    </w:p>
    <w:p>
      <w:pPr>
        <w:pStyle w:val="Normal"/>
        <w:spacing w:lineRule="auto" w:line="269" w:before="0" w:after="100"/>
        <w:rPr/>
      </w:pPr>
      <w:r>
        <w:rPr>
          <w:b/>
          <w:i w:val="false"/>
          <w:color w:val="5B6B82"/>
          <w:sz w:val="18"/>
        </w:rPr>
        <w:t>Los indicadores se revisarán al menos una vez al año y se comunicarán diferenciando objetivos, datos medidos y mejoras pendientes.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60"/>
        <w:rPr/>
      </w:pPr>
      <w:r>
        <w:rPr>
          <w:b/>
          <w:color w:val="00C489"/>
          <w:sz w:val="16"/>
        </w:rPr>
        <w:t>MANUAL BÁSICO DE IDENTIDAD CORPORATIVA</w:t>
      </w:r>
    </w:p>
    <w:p>
      <w:pPr>
        <w:pStyle w:val="Normal"/>
        <w:spacing w:before="0" w:after="240"/>
        <w:rPr/>
      </w:pPr>
      <w:r>
        <w:rPr>
          <w:b/>
          <w:color w:val="0B1227"/>
          <w:sz w:val="48"/>
        </w:rPr>
        <w:t>04. Logotipo e imagotipo</w:t>
      </w:r>
    </w:p>
    <w:p>
      <w:pPr>
        <w:pStyle w:val="Normal"/>
        <w:pBdr>
          <w:bottom w:val="single" w:sz="18" w:space="1" w:color="19BEFF"/>
        </w:pBdr>
        <w:spacing w:before="0" w:after="200"/>
        <w:rPr/>
      </w:pPr>
      <w:r>
        <w:rPr/>
      </w:r>
    </w:p>
    <w:p>
      <w:pPr>
        <w:pStyle w:val="Normal"/>
        <w:spacing w:before="100" w:after="100"/>
        <w:rPr/>
      </w:pPr>
      <w:r>
        <w:rPr>
          <w:b/>
          <w:color w:val="19BEFF"/>
          <w:sz w:val="26"/>
        </w:rPr>
        <w:t>Concepto de marca</w:t>
      </w:r>
    </w:p>
    <w:p>
      <w:pPr>
        <w:pStyle w:val="Normal"/>
        <w:spacing w:lineRule="auto" w:line="269" w:before="0" w:after="100"/>
        <w:rPr/>
      </w:pPr>
      <w:r>
        <w:rPr>
          <w:b w:val="false"/>
          <w:i w:val="false"/>
          <w:color w:val="243047"/>
          <w:sz w:val="20"/>
        </w:rPr>
        <w:t>La identidad visual combina un escudo —protección y confianza— con una marca de verificación —recuperación validada— y barras verticales que evocan datos, almacenamiento y monitorización. El conjunto transmite seguridad, continuidad y capacidad técnica.</w:t>
      </w:r>
    </w:p>
    <w:p>
      <w:pPr>
        <w:pStyle w:val="Normal"/>
        <w:spacing w:before="100" w:after="100"/>
        <w:rPr/>
      </w:pPr>
      <w:r>
        <w:rPr>
          <w:b/>
          <w:color w:val="19BEFF"/>
          <w:sz w:val="26"/>
        </w:rPr>
        <w:t>Logotipo principal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303520" cy="15322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1532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69" w:before="0" w:after="100"/>
        <w:jc w:val="center"/>
        <w:rPr/>
      </w:pPr>
      <w:r>
        <w:rPr>
          <w:b w:val="false"/>
          <w:i w:val="false"/>
          <w:color w:val="5B6B82"/>
          <w:sz w:val="18"/>
        </w:rPr>
        <w:t>Versión preferente: composición horizontal con símbolo a la izquierda y denominación DATASAFE RECOVERY a la derecha. Utilizar sobre fondo azul marino o en un área despejada.</w:t>
      </w:r>
    </w:p>
    <w:p>
      <w:pPr>
        <w:pStyle w:val="Normal"/>
        <w:spacing w:before="100" w:after="100"/>
        <w:rPr/>
      </w:pPr>
      <w:r>
        <w:rPr>
          <w:b/>
          <w:color w:val="19BEFF"/>
          <w:sz w:val="26"/>
        </w:rPr>
        <w:t>Imagotipo</w:t>
      </w:r>
    </w:p>
    <w:p>
      <w:pPr>
        <w:pStyle w:val="Normal"/>
        <w:spacing w:lineRule="auto" w:line="269" w:before="0" w:after="100"/>
        <w:rPr/>
      </w:pPr>
      <w:r>
        <w:rPr>
          <w:b w:val="false"/>
          <w:i w:val="false"/>
          <w:color w:val="243047"/>
          <w:sz w:val="20"/>
        </w:rPr>
        <w:t>El imagotipo es el símbolo del escudo con la marca de verificación y las barras de datos. Puede utilizarse solo en avatares, favicons, iconos de aplicaciones o espacios reducidos, siempre que conserve legibilidad.</w:t>
      </w:r>
    </w:p>
    <w:p>
      <w:pPr>
        <w:pStyle w:val="Normal"/>
        <w:spacing w:before="100" w:after="100"/>
        <w:rPr/>
      </w:pPr>
      <w:r>
        <w:rPr>
          <w:b/>
          <w:color w:val="19BEFF"/>
          <w:sz w:val="26"/>
        </w:rPr>
        <w:t>Versiones autorizadas</w:t>
      </w:r>
    </w:p>
    <w:p>
      <w:pPr>
        <w:pStyle w:val="ListBullet"/>
        <w:spacing w:before="0" w:after="80"/>
        <w:rPr/>
      </w:pPr>
      <w:r>
        <w:rPr>
          <w:rFonts w:ascii="Aptos" w:hAnsi="Aptos"/>
          <w:b/>
          <w:color w:val="00C489"/>
          <w:sz w:val="20"/>
        </w:rPr>
        <w:t xml:space="preserve">Fondo oscuro: </w:t>
      </w:r>
      <w:r>
        <w:rPr>
          <w:rFonts w:ascii="Aptos" w:hAnsi="Aptos"/>
          <w:b w:val="false"/>
          <w:color w:val="243047"/>
          <w:sz w:val="20"/>
        </w:rPr>
        <w:t>versión principal en azul marino, con símbolo verde turquesa/cian y texto claro.</w:t>
      </w:r>
    </w:p>
    <w:p>
      <w:pPr>
        <w:pStyle w:val="ListBullet"/>
        <w:spacing w:before="0" w:after="80"/>
        <w:rPr/>
      </w:pPr>
      <w:r>
        <w:rPr>
          <w:rFonts w:ascii="Aptos" w:hAnsi="Aptos"/>
          <w:b/>
          <w:color w:val="00C489"/>
          <w:sz w:val="20"/>
        </w:rPr>
        <w:t xml:space="preserve">Fondo claro: </w:t>
      </w:r>
      <w:r>
        <w:rPr>
          <w:rFonts w:ascii="Aptos" w:hAnsi="Aptos"/>
          <w:b w:val="false"/>
          <w:color w:val="243047"/>
          <w:sz w:val="20"/>
        </w:rPr>
        <w:t>símbolo en verde turquesa y cian, con denominación en azul marino.</w:t>
      </w:r>
    </w:p>
    <w:p>
      <w:pPr>
        <w:pStyle w:val="ListBullet"/>
        <w:spacing w:before="0" w:after="80"/>
        <w:rPr/>
      </w:pPr>
      <w:r>
        <w:rPr>
          <w:rFonts w:ascii="Aptos" w:hAnsi="Aptos"/>
          <w:b/>
          <w:color w:val="00C489"/>
          <w:sz w:val="20"/>
        </w:rPr>
        <w:t xml:space="preserve">Monocroma: </w:t>
      </w:r>
      <w:r>
        <w:rPr>
          <w:rFonts w:ascii="Aptos" w:hAnsi="Aptos"/>
          <w:b w:val="false"/>
          <w:color w:val="243047"/>
          <w:sz w:val="20"/>
        </w:rPr>
        <w:t>permitida cuando el soporte no admita color; utilizar una sola tinta y mantener las proporciones.</w:t>
      </w:r>
    </w:p>
    <w:p>
      <w:pPr>
        <w:pStyle w:val="Normal"/>
        <w:spacing w:before="100" w:after="100"/>
        <w:rPr/>
      </w:pPr>
      <w:r>
        <w:rPr>
          <w:b/>
          <w:color w:val="19BEFF"/>
          <w:sz w:val="26"/>
        </w:rPr>
        <w:t>Área de seguridad y tamaño mínimo</w:t>
      </w:r>
    </w:p>
    <w:p>
      <w:pPr>
        <w:pStyle w:val="Normal"/>
        <w:spacing w:lineRule="auto" w:line="269" w:before="0" w:after="100"/>
        <w:rPr/>
      </w:pPr>
      <w:r>
        <w:rPr>
          <w:b w:val="false"/>
          <w:i w:val="false"/>
          <w:color w:val="243047"/>
          <w:sz w:val="20"/>
        </w:rPr>
        <w:t>Mantener alrededor del logotipo un margen libre equivalente, como mínimo, a la altura de la letra “D” de DATASAFE. Como referencia inicial, no reproducir la versión horizontal por debajo de 35 mm de ancho ni el símbolo aislado por debajo de 8 mm de alto.</w:t>
      </w:r>
    </w:p>
    <w:p>
      <w:pPr>
        <w:pStyle w:val="Normal"/>
        <w:spacing w:before="100" w:after="100"/>
        <w:rPr/>
      </w:pPr>
      <w:r>
        <w:rPr>
          <w:b/>
          <w:color w:val="19BEFF"/>
          <w:sz w:val="26"/>
        </w:rPr>
        <w:t>Coherencia</w:t>
      </w:r>
    </w:p>
    <w:p>
      <w:pPr>
        <w:pStyle w:val="Normal"/>
        <w:spacing w:lineRule="auto" w:line="269" w:before="0" w:after="100"/>
        <w:rPr/>
      </w:pPr>
      <w:r>
        <w:rPr>
          <w:b w:val="false"/>
          <w:i w:val="false"/>
          <w:color w:val="243047"/>
          <w:sz w:val="20"/>
        </w:rPr>
        <w:t>No separar el símbolo del nombre en la versión horizontal, sustituir la tipografía ni añadir sombras, degradados o contornos no contemplados.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60"/>
        <w:rPr/>
      </w:pPr>
      <w:r>
        <w:rPr>
          <w:b/>
          <w:color w:val="00C489"/>
          <w:sz w:val="16"/>
        </w:rPr>
        <w:t>MANUAL BÁSICO DE IDENTIDAD CORPORATIVA</w:t>
      </w:r>
    </w:p>
    <w:p>
      <w:pPr>
        <w:pStyle w:val="Normal"/>
        <w:spacing w:before="0" w:after="240"/>
        <w:rPr/>
      </w:pPr>
      <w:r>
        <w:rPr>
          <w:b/>
          <w:color w:val="0B1227"/>
          <w:sz w:val="48"/>
        </w:rPr>
        <w:t>05. Gama cromática corporativa</w:t>
      </w:r>
    </w:p>
    <w:p>
      <w:pPr>
        <w:pStyle w:val="Normal"/>
        <w:pBdr>
          <w:bottom w:val="single" w:sz="18" w:space="1" w:color="19BEFF"/>
        </w:pBdr>
        <w:spacing w:before="0" w:after="200"/>
        <w:rPr/>
      </w:pPr>
      <w:r>
        <w:rPr/>
      </w:r>
    </w:p>
    <w:p>
      <w:pPr>
        <w:pStyle w:val="Normal"/>
        <w:spacing w:lineRule="auto" w:line="269" w:before="0" w:after="200"/>
        <w:rPr/>
      </w:pPr>
      <w:r>
        <w:rPr>
          <w:b w:val="false"/>
          <w:i w:val="false"/>
          <w:color w:val="5B6B82"/>
          <w:sz w:val="20"/>
        </w:rPr>
        <w:t>La paleta parte de la portada del proyecto: azul marino como base tecnológica, verde turquesa para seguridad y acción, cian para destacar información y neutros para asegurar legibilidad.</w:t>
      </w:r>
    </w:p>
    <w:tbl>
      <w:tblPr>
        <w:tblW w:w="9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928"/>
        <w:gridCol w:w="1928"/>
        <w:gridCol w:w="1928"/>
        <w:gridCol w:w="1928"/>
        <w:gridCol w:w="1928"/>
      </w:tblGrid>
      <w:tr>
        <w:trPr/>
        <w:tc>
          <w:tcPr>
            <w:tcW w:w="192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92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92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92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92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928" w:type="dxa"/>
            <w:tcBorders/>
            <w:shd w:fill="0B1227" w:val="clear"/>
          </w:tcPr>
          <w:p>
            <w:pPr>
              <w:pStyle w:val="Normal"/>
              <w:rPr/>
            </w:pPr>
            <w:r>
              <w:rPr>
                <w:b/>
                <w:color w:val="FFFFFF"/>
                <w:sz w:val="16"/>
              </w:rPr>
              <w:t>Color</w:t>
            </w:r>
          </w:p>
        </w:tc>
        <w:tc>
          <w:tcPr>
            <w:tcW w:w="1928" w:type="dxa"/>
            <w:tcBorders/>
            <w:shd w:fill="0B1227" w:val="clear"/>
          </w:tcPr>
          <w:p>
            <w:pPr>
              <w:pStyle w:val="Normal"/>
              <w:rPr/>
            </w:pPr>
            <w:r>
              <w:rPr>
                <w:b/>
                <w:color w:val="FFFFFF"/>
                <w:sz w:val="16"/>
              </w:rPr>
              <w:t>HEX</w:t>
            </w:r>
          </w:p>
        </w:tc>
        <w:tc>
          <w:tcPr>
            <w:tcW w:w="1928" w:type="dxa"/>
            <w:tcBorders/>
            <w:shd w:fill="0B1227" w:val="clear"/>
          </w:tcPr>
          <w:p>
            <w:pPr>
              <w:pStyle w:val="Normal"/>
              <w:rPr/>
            </w:pPr>
            <w:r>
              <w:rPr>
                <w:b/>
                <w:color w:val="FFFFFF"/>
                <w:sz w:val="16"/>
              </w:rPr>
              <w:t>RGB</w:t>
            </w:r>
          </w:p>
        </w:tc>
        <w:tc>
          <w:tcPr>
            <w:tcW w:w="1928" w:type="dxa"/>
            <w:tcBorders/>
            <w:shd w:fill="0B1227" w:val="clear"/>
          </w:tcPr>
          <w:p>
            <w:pPr>
              <w:pStyle w:val="Normal"/>
              <w:rPr/>
            </w:pPr>
            <w:r>
              <w:rPr>
                <w:b/>
                <w:color w:val="FFFFFF"/>
                <w:sz w:val="16"/>
              </w:rPr>
              <w:t>CMYK*</w:t>
            </w:r>
          </w:p>
        </w:tc>
        <w:tc>
          <w:tcPr>
            <w:tcW w:w="1928" w:type="dxa"/>
            <w:tcBorders/>
            <w:shd w:fill="0B1227" w:val="clear"/>
          </w:tcPr>
          <w:p>
            <w:pPr>
              <w:pStyle w:val="Normal"/>
              <w:rPr/>
            </w:pPr>
            <w:r>
              <w:rPr>
                <w:b/>
                <w:color w:val="FFFFFF"/>
                <w:sz w:val="16"/>
              </w:rPr>
              <w:t>Uso recomendado</w:t>
            </w:r>
          </w:p>
        </w:tc>
      </w:tr>
      <w:tr>
        <w:trPr/>
        <w:tc>
          <w:tcPr>
            <w:tcW w:w="1928" w:type="dxa"/>
            <w:tcBorders/>
            <w:shd w:fill="0B1227" w:val="clear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Normal"/>
              <w:rPr/>
            </w:pPr>
            <w:r>
              <w:rPr>
                <w:b/>
                <w:color w:val="243047"/>
                <w:sz w:val="16"/>
              </w:rPr>
              <w:t>Azul marino</w:t>
            </w:r>
          </w:p>
        </w:tc>
        <w:tc>
          <w:tcPr>
            <w:tcW w:w="1928" w:type="dxa"/>
            <w:tcBorders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Normal"/>
              <w:rPr/>
            </w:pPr>
            <w:r>
              <w:rPr>
                <w:b w:val="false"/>
                <w:color w:val="243047"/>
                <w:sz w:val="16"/>
              </w:rPr>
              <w:t>#0B1227</w:t>
            </w:r>
          </w:p>
        </w:tc>
        <w:tc>
          <w:tcPr>
            <w:tcW w:w="1928" w:type="dxa"/>
            <w:tcBorders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Normal"/>
              <w:rPr/>
            </w:pPr>
            <w:r>
              <w:rPr>
                <w:b w:val="false"/>
                <w:color w:val="243047"/>
                <w:sz w:val="16"/>
              </w:rPr>
              <w:t>11, 18, 39</w:t>
            </w:r>
          </w:p>
        </w:tc>
        <w:tc>
          <w:tcPr>
            <w:tcW w:w="1928" w:type="dxa"/>
            <w:tcBorders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Normal"/>
              <w:rPr/>
            </w:pPr>
            <w:r>
              <w:rPr>
                <w:b w:val="false"/>
                <w:color w:val="243047"/>
                <w:sz w:val="16"/>
              </w:rPr>
              <w:t>72, 54, 0, 85</w:t>
            </w:r>
          </w:p>
        </w:tc>
        <w:tc>
          <w:tcPr>
            <w:tcW w:w="1928" w:type="dxa"/>
            <w:tcBorders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Normal"/>
              <w:rPr/>
            </w:pPr>
            <w:r>
              <w:rPr>
                <w:b w:val="false"/>
                <w:color w:val="243047"/>
                <w:sz w:val="16"/>
              </w:rPr>
              <w:t>Fondo principal y títulos sobre claro.</w:t>
            </w:r>
          </w:p>
        </w:tc>
      </w:tr>
      <w:tr>
        <w:trPr/>
        <w:tc>
          <w:tcPr>
            <w:tcW w:w="1928" w:type="dxa"/>
            <w:tcBorders/>
            <w:shd w:fill="00C489" w:val="clear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Normal"/>
              <w:rPr/>
            </w:pPr>
            <w:r>
              <w:rPr>
                <w:b/>
                <w:color w:val="243047"/>
                <w:sz w:val="16"/>
              </w:rPr>
              <w:t>Verde turquesa</w:t>
            </w:r>
          </w:p>
        </w:tc>
        <w:tc>
          <w:tcPr>
            <w:tcW w:w="1928" w:type="dxa"/>
            <w:tcBorders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Normal"/>
              <w:rPr/>
            </w:pPr>
            <w:r>
              <w:rPr>
                <w:b w:val="false"/>
                <w:color w:val="243047"/>
                <w:sz w:val="16"/>
              </w:rPr>
              <w:t>#00C489</w:t>
            </w:r>
          </w:p>
        </w:tc>
        <w:tc>
          <w:tcPr>
            <w:tcW w:w="1928" w:type="dxa"/>
            <w:tcBorders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Normal"/>
              <w:rPr/>
            </w:pPr>
            <w:r>
              <w:rPr>
                <w:b w:val="false"/>
                <w:color w:val="243047"/>
                <w:sz w:val="16"/>
              </w:rPr>
              <w:t>0, 196, 137</w:t>
            </w:r>
          </w:p>
        </w:tc>
        <w:tc>
          <w:tcPr>
            <w:tcW w:w="1928" w:type="dxa"/>
            <w:tcBorders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Normal"/>
              <w:rPr/>
            </w:pPr>
            <w:r>
              <w:rPr>
                <w:b w:val="false"/>
                <w:color w:val="243047"/>
                <w:sz w:val="16"/>
              </w:rPr>
              <w:t>100, 0, 30, 23</w:t>
            </w:r>
          </w:p>
        </w:tc>
        <w:tc>
          <w:tcPr>
            <w:tcW w:w="1928" w:type="dxa"/>
            <w:tcBorders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Normal"/>
              <w:rPr/>
            </w:pPr>
            <w:r>
              <w:rPr>
                <w:b w:val="false"/>
                <w:color w:val="243047"/>
                <w:sz w:val="16"/>
              </w:rPr>
              <w:t>Color principal, titulares y señales positivas.</w:t>
            </w:r>
          </w:p>
        </w:tc>
      </w:tr>
      <w:tr>
        <w:trPr/>
        <w:tc>
          <w:tcPr>
            <w:tcW w:w="1928" w:type="dxa"/>
            <w:tcBorders/>
            <w:shd w:fill="19BEFF" w:val="clear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Normal"/>
              <w:rPr/>
            </w:pPr>
            <w:r>
              <w:rPr>
                <w:b/>
                <w:color w:val="243047"/>
                <w:sz w:val="16"/>
              </w:rPr>
              <w:t>Cian</w:t>
            </w:r>
          </w:p>
        </w:tc>
        <w:tc>
          <w:tcPr>
            <w:tcW w:w="1928" w:type="dxa"/>
            <w:tcBorders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Normal"/>
              <w:rPr/>
            </w:pPr>
            <w:r>
              <w:rPr>
                <w:b w:val="false"/>
                <w:color w:val="243047"/>
                <w:sz w:val="16"/>
              </w:rPr>
              <w:t>#19BEFF</w:t>
            </w:r>
          </w:p>
        </w:tc>
        <w:tc>
          <w:tcPr>
            <w:tcW w:w="1928" w:type="dxa"/>
            <w:tcBorders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Normal"/>
              <w:rPr/>
            </w:pPr>
            <w:r>
              <w:rPr>
                <w:b w:val="false"/>
                <w:color w:val="243047"/>
                <w:sz w:val="16"/>
              </w:rPr>
              <w:t>25, 190, 255</w:t>
            </w:r>
          </w:p>
        </w:tc>
        <w:tc>
          <w:tcPr>
            <w:tcW w:w="1928" w:type="dxa"/>
            <w:tcBorders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Normal"/>
              <w:rPr/>
            </w:pPr>
            <w:r>
              <w:rPr>
                <w:b w:val="false"/>
                <w:color w:val="243047"/>
                <w:sz w:val="16"/>
              </w:rPr>
              <w:t>90, 25, 0, 0</w:t>
            </w:r>
          </w:p>
        </w:tc>
        <w:tc>
          <w:tcPr>
            <w:tcW w:w="1928" w:type="dxa"/>
            <w:tcBorders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Normal"/>
              <w:rPr/>
            </w:pPr>
            <w:r>
              <w:rPr>
                <w:b w:val="false"/>
                <w:color w:val="243047"/>
                <w:sz w:val="16"/>
              </w:rPr>
              <w:t>Acentos, líneas, enlaces y elementos técnicos.</w:t>
            </w:r>
          </w:p>
        </w:tc>
      </w:tr>
      <w:tr>
        <w:trPr/>
        <w:tc>
          <w:tcPr>
            <w:tcW w:w="1928" w:type="dxa"/>
            <w:tcBorders/>
            <w:shd w:fill="1E2A3D" w:val="clear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Normal"/>
              <w:rPr/>
            </w:pPr>
            <w:r>
              <w:rPr>
                <w:b/>
                <w:color w:val="243047"/>
                <w:sz w:val="16"/>
              </w:rPr>
              <w:t>Gris pizarra</w:t>
            </w:r>
          </w:p>
        </w:tc>
        <w:tc>
          <w:tcPr>
            <w:tcW w:w="1928" w:type="dxa"/>
            <w:tcBorders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Normal"/>
              <w:rPr/>
            </w:pPr>
            <w:r>
              <w:rPr>
                <w:b w:val="false"/>
                <w:color w:val="243047"/>
                <w:sz w:val="16"/>
              </w:rPr>
              <w:t>#1E2A3D</w:t>
            </w:r>
          </w:p>
        </w:tc>
        <w:tc>
          <w:tcPr>
            <w:tcW w:w="1928" w:type="dxa"/>
            <w:tcBorders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Normal"/>
              <w:rPr/>
            </w:pPr>
            <w:r>
              <w:rPr>
                <w:b w:val="false"/>
                <w:color w:val="243047"/>
                <w:sz w:val="16"/>
              </w:rPr>
              <w:t>30, 42, 61</w:t>
            </w:r>
          </w:p>
        </w:tc>
        <w:tc>
          <w:tcPr>
            <w:tcW w:w="1928" w:type="dxa"/>
            <w:tcBorders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Normal"/>
              <w:rPr/>
            </w:pPr>
            <w:r>
              <w:rPr>
                <w:b w:val="false"/>
                <w:color w:val="243047"/>
                <w:sz w:val="16"/>
              </w:rPr>
              <w:t>51, 31, 0, 76</w:t>
            </w:r>
          </w:p>
        </w:tc>
        <w:tc>
          <w:tcPr>
            <w:tcW w:w="1928" w:type="dxa"/>
            <w:tcBorders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Normal"/>
              <w:rPr/>
            </w:pPr>
            <w:r>
              <w:rPr>
                <w:b w:val="false"/>
                <w:color w:val="243047"/>
                <w:sz w:val="16"/>
              </w:rPr>
              <w:t>Tarjetas y fondos secundarios.</w:t>
            </w:r>
          </w:p>
        </w:tc>
      </w:tr>
      <w:tr>
        <w:trPr/>
        <w:tc>
          <w:tcPr>
            <w:tcW w:w="1928" w:type="dxa"/>
            <w:tcBorders/>
            <w:shd w:fill="F5F8FF" w:val="clear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Normal"/>
              <w:rPr/>
            </w:pPr>
            <w:r>
              <w:rPr>
                <w:b/>
                <w:color w:val="243047"/>
                <w:sz w:val="16"/>
              </w:rPr>
              <w:t>Blanco suave</w:t>
            </w:r>
          </w:p>
        </w:tc>
        <w:tc>
          <w:tcPr>
            <w:tcW w:w="1928" w:type="dxa"/>
            <w:tcBorders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Normal"/>
              <w:rPr/>
            </w:pPr>
            <w:r>
              <w:rPr>
                <w:b w:val="false"/>
                <w:color w:val="243047"/>
                <w:sz w:val="16"/>
              </w:rPr>
              <w:t>#F5F8FF</w:t>
            </w:r>
          </w:p>
        </w:tc>
        <w:tc>
          <w:tcPr>
            <w:tcW w:w="1928" w:type="dxa"/>
            <w:tcBorders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Normal"/>
              <w:rPr/>
            </w:pPr>
            <w:r>
              <w:rPr>
                <w:b w:val="false"/>
                <w:color w:val="243047"/>
                <w:sz w:val="16"/>
              </w:rPr>
              <w:t>245, 248, 255</w:t>
            </w:r>
          </w:p>
        </w:tc>
        <w:tc>
          <w:tcPr>
            <w:tcW w:w="1928" w:type="dxa"/>
            <w:tcBorders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Normal"/>
              <w:rPr/>
            </w:pPr>
            <w:r>
              <w:rPr>
                <w:b w:val="false"/>
                <w:color w:val="243047"/>
                <w:sz w:val="16"/>
              </w:rPr>
              <w:t>4, 3, 0, 0</w:t>
            </w:r>
          </w:p>
        </w:tc>
        <w:tc>
          <w:tcPr>
            <w:tcW w:w="1928" w:type="dxa"/>
            <w:tcBorders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Normal"/>
              <w:rPr/>
            </w:pPr>
            <w:r>
              <w:rPr>
                <w:b w:val="false"/>
                <w:color w:val="243047"/>
                <w:sz w:val="16"/>
              </w:rPr>
              <w:t>Texto sobre fondos oscuros y fondos claros.</w:t>
            </w:r>
          </w:p>
        </w:tc>
      </w:tr>
      <w:tr>
        <w:trPr/>
        <w:tc>
          <w:tcPr>
            <w:tcW w:w="1928" w:type="dxa"/>
            <w:tcBorders/>
            <w:shd w:fill="5B6B82" w:val="clear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Normal"/>
              <w:rPr/>
            </w:pPr>
            <w:r>
              <w:rPr>
                <w:b/>
                <w:color w:val="243047"/>
                <w:sz w:val="16"/>
              </w:rPr>
              <w:t>Gris texto</w:t>
            </w:r>
          </w:p>
        </w:tc>
        <w:tc>
          <w:tcPr>
            <w:tcW w:w="1928" w:type="dxa"/>
            <w:tcBorders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Normal"/>
              <w:rPr/>
            </w:pPr>
            <w:r>
              <w:rPr>
                <w:b w:val="false"/>
                <w:color w:val="243047"/>
                <w:sz w:val="16"/>
              </w:rPr>
              <w:t>#5B6B82</w:t>
            </w:r>
          </w:p>
        </w:tc>
        <w:tc>
          <w:tcPr>
            <w:tcW w:w="1928" w:type="dxa"/>
            <w:tcBorders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Normal"/>
              <w:rPr/>
            </w:pPr>
            <w:r>
              <w:rPr>
                <w:b w:val="false"/>
                <w:color w:val="243047"/>
                <w:sz w:val="16"/>
              </w:rPr>
              <w:t>91, 107, 130</w:t>
            </w:r>
          </w:p>
        </w:tc>
        <w:tc>
          <w:tcPr>
            <w:tcW w:w="1928" w:type="dxa"/>
            <w:tcBorders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Normal"/>
              <w:rPr/>
            </w:pPr>
            <w:r>
              <w:rPr>
                <w:b w:val="false"/>
                <w:color w:val="243047"/>
                <w:sz w:val="16"/>
              </w:rPr>
              <w:t>30, 18, 0, 49</w:t>
            </w:r>
          </w:p>
        </w:tc>
        <w:tc>
          <w:tcPr>
            <w:tcW w:w="1928" w:type="dxa"/>
            <w:tcBorders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Normal"/>
              <w:rPr/>
            </w:pPr>
            <w:r>
              <w:rPr>
                <w:b w:val="false"/>
                <w:color w:val="243047"/>
                <w:sz w:val="16"/>
              </w:rPr>
              <w:t>Notas y metadatos.</w:t>
            </w:r>
          </w:p>
        </w:tc>
      </w:tr>
    </w:tbl>
    <w:p>
      <w:pPr>
        <w:pStyle w:val="Normal"/>
        <w:spacing w:lineRule="auto" w:line="269" w:before="0" w:after="100"/>
        <w:rPr/>
      </w:pPr>
      <w:r>
        <w:rPr>
          <w:b w:val="false"/>
          <w:i w:val="false"/>
          <w:color w:val="5B6B82"/>
          <w:sz w:val="16"/>
        </w:rPr>
        <w:t>*CMYK orientativo; puede variar según perfil ICC, papel y sistema de impresión.</w:t>
      </w:r>
    </w:p>
    <w:p>
      <w:pPr>
        <w:pStyle w:val="Normal"/>
        <w:spacing w:before="100" w:after="100"/>
        <w:rPr/>
      </w:pPr>
      <w:r>
        <w:rPr>
          <w:b/>
          <w:color w:val="19BEFF"/>
          <w:sz w:val="26"/>
        </w:rPr>
        <w:t>Proporción orientativa</w:t>
      </w:r>
    </w:p>
    <w:p>
      <w:pPr>
        <w:pStyle w:val="Normal"/>
        <w:spacing w:lineRule="auto" w:line="269" w:before="0" w:after="100"/>
        <w:rPr/>
      </w:pPr>
      <w:r>
        <w:rPr>
          <w:b w:val="false"/>
          <w:i w:val="false"/>
          <w:color w:val="243047"/>
          <w:sz w:val="20"/>
        </w:rPr>
        <w:t>Azul marino 60 % · blanco/grises 25 % · verde turquesa 10 % · cian 5 %.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60"/>
        <w:rPr/>
      </w:pPr>
      <w:r>
        <w:rPr>
          <w:b/>
          <w:color w:val="00C489"/>
          <w:sz w:val="16"/>
        </w:rPr>
        <w:t>MANUAL BÁSICO DE IDENTIDAD CORPORATIVA</w:t>
      </w:r>
    </w:p>
    <w:p>
      <w:pPr>
        <w:pStyle w:val="Normal"/>
        <w:spacing w:before="0" w:after="240"/>
        <w:rPr/>
      </w:pPr>
      <w:r>
        <w:rPr>
          <w:b/>
          <w:color w:val="0B1227"/>
          <w:sz w:val="48"/>
        </w:rPr>
        <w:t>06. Tipografías corporativas</w:t>
      </w:r>
    </w:p>
    <w:p>
      <w:pPr>
        <w:pStyle w:val="Normal"/>
        <w:pBdr>
          <w:bottom w:val="single" w:sz="18" w:space="1" w:color="19BEFF"/>
        </w:pBdr>
        <w:spacing w:before="0" w:after="200"/>
        <w:rPr/>
      </w:pPr>
      <w:r>
        <w:rPr/>
      </w:r>
    </w:p>
    <w:p>
      <w:pPr>
        <w:pStyle w:val="Normal"/>
        <w:spacing w:before="100" w:after="100"/>
        <w:rPr/>
      </w:pPr>
      <w:r>
        <w:rPr>
          <w:b/>
          <w:color w:val="19BEFF"/>
          <w:sz w:val="26"/>
        </w:rPr>
        <w:t>Principal · Aptos / Arial</w:t>
      </w:r>
    </w:p>
    <w:p>
      <w:pPr>
        <w:pStyle w:val="Normal"/>
        <w:spacing w:lineRule="auto" w:line="269" w:before="0" w:after="100"/>
        <w:rPr/>
      </w:pPr>
      <w:r>
        <w:rPr>
          <w:b w:val="false"/>
          <w:i w:val="false"/>
          <w:color w:val="243047"/>
          <w:sz w:val="20"/>
        </w:rPr>
        <w:t>Uso: títulos, subtítulos y texto general en documentos, presentaciones y comunicaciones. Aptos es la opción preferente; Arial es la alternativa compatible.</w:t>
      </w:r>
    </w:p>
    <w:p>
      <w:pPr>
        <w:pStyle w:val="Normal"/>
        <w:spacing w:before="100" w:after="100"/>
        <w:rPr/>
      </w:pPr>
      <w:r>
        <w:rPr>
          <w:b/>
          <w:color w:val="19BEFF"/>
          <w:sz w:val="26"/>
        </w:rPr>
        <w:t>Secundaria · Aptos / Arial</w:t>
      </w:r>
    </w:p>
    <w:p>
      <w:pPr>
        <w:pStyle w:val="Normal"/>
        <w:spacing w:lineRule="auto" w:line="269" w:before="0" w:after="100"/>
        <w:rPr/>
      </w:pPr>
      <w:r>
        <w:rPr>
          <w:b w:val="false"/>
          <w:i w:val="false"/>
          <w:color w:val="243047"/>
          <w:sz w:val="20"/>
        </w:rPr>
        <w:t>Uso: párrafos largos, pies de página, tablas y materiales informativos. Priorizar pesos regular y semibold, con interlineado cómodo.</w:t>
      </w:r>
    </w:p>
    <w:p>
      <w:pPr>
        <w:pStyle w:val="Normal"/>
        <w:spacing w:before="100" w:after="100"/>
        <w:rPr/>
      </w:pPr>
      <w:r>
        <w:rPr>
          <w:b/>
          <w:color w:val="19BEFF"/>
          <w:sz w:val="26"/>
        </w:rPr>
        <w:t>Técnica · Consolas</w:t>
      </w:r>
    </w:p>
    <w:p>
      <w:pPr>
        <w:pStyle w:val="Normal"/>
        <w:spacing w:lineRule="auto" w:line="269" w:before="0" w:after="100"/>
        <w:rPr/>
      </w:pPr>
      <w:r>
        <w:rPr>
          <w:b w:val="false"/>
          <w:i w:val="false"/>
          <w:color w:val="243047"/>
          <w:sz w:val="20"/>
        </w:rPr>
        <w:t>Uso: nombres de archivos, comandos, fragmentos de configuración, rutas, direcciones IP y términos técnicos. No emplearla en párrafos corporativos extensos.</w:t>
      </w:r>
    </w:p>
    <w:p>
      <w:pPr>
        <w:pStyle w:val="Normal"/>
        <w:spacing w:before="100" w:after="100"/>
        <w:rPr/>
      </w:pPr>
      <w:r>
        <w:rPr>
          <w:b/>
          <w:color w:val="19BEFF"/>
          <w:sz w:val="26"/>
        </w:rPr>
        <w:t>Jerarquía recomendada</w:t>
      </w:r>
    </w:p>
    <w:p>
      <w:pPr>
        <w:pStyle w:val="ListBullet"/>
        <w:spacing w:before="0" w:after="80"/>
        <w:rPr/>
      </w:pPr>
      <w:r>
        <w:rPr>
          <w:rFonts w:ascii="Aptos" w:hAnsi="Aptos"/>
          <w:b/>
          <w:color w:val="00C489"/>
          <w:sz w:val="20"/>
        </w:rPr>
        <w:t xml:space="preserve">Título de documento: </w:t>
      </w:r>
      <w:r>
        <w:rPr>
          <w:rFonts w:ascii="Aptos" w:hAnsi="Aptos"/>
          <w:b w:val="false"/>
          <w:color w:val="243047"/>
          <w:sz w:val="20"/>
        </w:rPr>
        <w:t>24–28 pt, negrita.</w:t>
      </w:r>
    </w:p>
    <w:p>
      <w:pPr>
        <w:pStyle w:val="ListBullet"/>
        <w:spacing w:before="0" w:after="80"/>
        <w:rPr/>
      </w:pPr>
      <w:r>
        <w:rPr>
          <w:rFonts w:ascii="Aptos" w:hAnsi="Aptos"/>
          <w:b/>
          <w:color w:val="00C489"/>
          <w:sz w:val="20"/>
        </w:rPr>
        <w:t xml:space="preserve">Título de apartado: </w:t>
      </w:r>
      <w:r>
        <w:rPr>
          <w:rFonts w:ascii="Aptos" w:hAnsi="Aptos"/>
          <w:b w:val="false"/>
          <w:color w:val="243047"/>
          <w:sz w:val="20"/>
        </w:rPr>
        <w:t>16–20 pt, negrita.</w:t>
      </w:r>
    </w:p>
    <w:p>
      <w:pPr>
        <w:pStyle w:val="ListBullet"/>
        <w:spacing w:before="0" w:after="80"/>
        <w:rPr/>
      </w:pPr>
      <w:r>
        <w:rPr>
          <w:rFonts w:ascii="Aptos" w:hAnsi="Aptos"/>
          <w:b/>
          <w:color w:val="00C489"/>
          <w:sz w:val="20"/>
        </w:rPr>
        <w:t xml:space="preserve">Subapartado: </w:t>
      </w:r>
      <w:r>
        <w:rPr>
          <w:rFonts w:ascii="Aptos" w:hAnsi="Aptos"/>
          <w:b w:val="false"/>
          <w:color w:val="243047"/>
          <w:sz w:val="20"/>
        </w:rPr>
        <w:t>12–14 pt, seminegrita.</w:t>
      </w:r>
    </w:p>
    <w:p>
      <w:pPr>
        <w:pStyle w:val="ListBullet"/>
        <w:spacing w:before="0" w:after="80"/>
        <w:rPr/>
      </w:pPr>
      <w:r>
        <w:rPr>
          <w:rFonts w:ascii="Aptos" w:hAnsi="Aptos"/>
          <w:b/>
          <w:color w:val="00C489"/>
          <w:sz w:val="20"/>
        </w:rPr>
        <w:t xml:space="preserve">Texto principal: </w:t>
      </w:r>
      <w:r>
        <w:rPr>
          <w:rFonts w:ascii="Aptos" w:hAnsi="Aptos"/>
          <w:b w:val="false"/>
          <w:color w:val="243047"/>
          <w:sz w:val="20"/>
        </w:rPr>
        <w:t>10–11 pt, regular.</w:t>
      </w:r>
    </w:p>
    <w:p>
      <w:pPr>
        <w:pStyle w:val="ListBullet"/>
        <w:spacing w:before="0" w:after="80"/>
        <w:rPr/>
      </w:pPr>
      <w:r>
        <w:rPr>
          <w:rFonts w:ascii="Aptos" w:hAnsi="Aptos"/>
          <w:b/>
          <w:color w:val="00C489"/>
          <w:sz w:val="20"/>
        </w:rPr>
        <w:t xml:space="preserve">Notas y pies: </w:t>
      </w:r>
      <w:r>
        <w:rPr>
          <w:rFonts w:ascii="Aptos" w:hAnsi="Aptos"/>
          <w:b w:val="false"/>
          <w:color w:val="243047"/>
          <w:sz w:val="20"/>
        </w:rPr>
        <w:t>8–9 pt; no incluir información imprescindible.</w:t>
      </w:r>
    </w:p>
    <w:p>
      <w:pPr>
        <w:pStyle w:val="Normal"/>
        <w:spacing w:before="100" w:after="100"/>
        <w:rPr/>
      </w:pPr>
      <w:r>
        <w:rPr>
          <w:b/>
          <w:color w:val="19BEFF"/>
          <w:sz w:val="26"/>
        </w:rPr>
        <w:t>Normas</w:t>
      </w:r>
    </w:p>
    <w:p>
      <w:pPr>
        <w:pStyle w:val="Normal"/>
        <w:spacing w:lineRule="auto" w:line="269" w:before="0" w:after="100"/>
        <w:rPr/>
      </w:pPr>
      <w:r>
        <w:rPr>
          <w:b w:val="false"/>
          <w:i w:val="false"/>
          <w:color w:val="243047"/>
          <w:sz w:val="20"/>
        </w:rPr>
        <w:t>Mantener alineación y jerarquía constantes; evitar mezclar más de dos familias en una misma pieza, abusar de mayúsculas o utilizar efectos decorativos.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60"/>
        <w:rPr/>
      </w:pPr>
      <w:r>
        <w:rPr>
          <w:b/>
          <w:color w:val="00C489"/>
          <w:sz w:val="16"/>
        </w:rPr>
        <w:t>MANUAL BÁSICO DE IDENTIDAD CORPORATIVA</w:t>
      </w:r>
    </w:p>
    <w:p>
      <w:pPr>
        <w:pStyle w:val="Normal"/>
        <w:spacing w:before="0" w:after="240"/>
        <w:rPr/>
      </w:pPr>
      <w:r>
        <w:rPr>
          <w:b/>
          <w:color w:val="0B1227"/>
          <w:sz w:val="48"/>
        </w:rPr>
        <w:t>07. Usos autorizados e incorrectos</w:t>
      </w:r>
    </w:p>
    <w:p>
      <w:pPr>
        <w:pStyle w:val="Normal"/>
        <w:pBdr>
          <w:bottom w:val="single" w:sz="18" w:space="1" w:color="19BEFF"/>
        </w:pBdr>
        <w:spacing w:before="0" w:after="200"/>
        <w:rPr/>
      </w:pPr>
      <w:r>
        <w:rPr/>
      </w:r>
    </w:p>
    <w:p>
      <w:pPr>
        <w:pStyle w:val="Normal"/>
        <w:spacing w:before="100" w:after="100"/>
        <w:rPr/>
      </w:pPr>
      <w:r>
        <w:rPr>
          <w:b/>
          <w:color w:val="19BEFF"/>
          <w:sz w:val="26"/>
        </w:rPr>
        <w:t>Usos autorizados</w:t>
      </w:r>
    </w:p>
    <w:p>
      <w:pPr>
        <w:pStyle w:val="ListBullet"/>
        <w:spacing w:before="0" w:after="80"/>
        <w:rPr/>
      </w:pPr>
      <w:r>
        <w:rPr>
          <w:rFonts w:ascii="Aptos" w:hAnsi="Aptos"/>
          <w:b/>
          <w:color w:val="00C489"/>
          <w:sz w:val="20"/>
        </w:rPr>
        <w:t xml:space="preserve">Contraste suficiente. </w:t>
      </w:r>
      <w:r>
        <w:rPr>
          <w:rFonts w:ascii="Aptos" w:hAnsi="Aptos"/>
          <w:b w:val="false"/>
          <w:color w:val="243047"/>
          <w:sz w:val="20"/>
        </w:rPr>
        <w:t>Versión clara sobre fondos oscuros y versión oscura sobre fondos claros.</w:t>
      </w:r>
    </w:p>
    <w:p>
      <w:pPr>
        <w:pStyle w:val="ListBullet"/>
        <w:spacing w:before="0" w:after="80"/>
        <w:rPr/>
      </w:pPr>
      <w:r>
        <w:rPr>
          <w:rFonts w:ascii="Aptos" w:hAnsi="Aptos"/>
          <w:b/>
          <w:color w:val="00C489"/>
          <w:sz w:val="20"/>
        </w:rPr>
        <w:t xml:space="preserve">Proporciones originales. </w:t>
      </w:r>
      <w:r>
        <w:rPr>
          <w:rFonts w:ascii="Aptos" w:hAnsi="Aptos"/>
          <w:b w:val="false"/>
          <w:color w:val="243047"/>
          <w:sz w:val="20"/>
        </w:rPr>
        <w:t>Escalar el conjunto de forma proporcional.</w:t>
      </w:r>
    </w:p>
    <w:p>
      <w:pPr>
        <w:pStyle w:val="ListBullet"/>
        <w:spacing w:before="0" w:after="80"/>
        <w:rPr/>
      </w:pPr>
      <w:r>
        <w:rPr>
          <w:rFonts w:ascii="Aptos" w:hAnsi="Aptos"/>
          <w:b/>
          <w:color w:val="00C489"/>
          <w:sz w:val="20"/>
        </w:rPr>
        <w:t xml:space="preserve">Área de seguridad. </w:t>
      </w:r>
      <w:r>
        <w:rPr>
          <w:rFonts w:ascii="Aptos" w:hAnsi="Aptos"/>
          <w:b w:val="false"/>
          <w:color w:val="243047"/>
          <w:sz w:val="20"/>
        </w:rPr>
        <w:t>Dejar espacio libre alrededor del símbolo y del nombre.</w:t>
      </w:r>
    </w:p>
    <w:p>
      <w:pPr>
        <w:pStyle w:val="ListBullet"/>
        <w:spacing w:before="0" w:after="80"/>
        <w:rPr/>
      </w:pPr>
      <w:r>
        <w:rPr>
          <w:rFonts w:ascii="Aptos" w:hAnsi="Aptos"/>
          <w:b/>
          <w:color w:val="00C489"/>
          <w:sz w:val="20"/>
        </w:rPr>
        <w:t xml:space="preserve">Versiones consistentes. </w:t>
      </w:r>
      <w:r>
        <w:rPr>
          <w:rFonts w:ascii="Aptos" w:hAnsi="Aptos"/>
          <w:b w:val="false"/>
          <w:color w:val="243047"/>
          <w:sz w:val="20"/>
        </w:rPr>
        <w:t>Utilizar archivos maestros y colores definidos.</w:t>
      </w:r>
    </w:p>
    <w:p>
      <w:pPr>
        <w:pStyle w:val="ListBullet"/>
        <w:spacing w:before="0" w:after="80"/>
        <w:rPr/>
      </w:pPr>
      <w:r>
        <w:rPr>
          <w:rFonts w:ascii="Aptos" w:hAnsi="Aptos"/>
          <w:b/>
          <w:color w:val="00C489"/>
          <w:sz w:val="20"/>
        </w:rPr>
        <w:t xml:space="preserve">Legibilidad. </w:t>
      </w:r>
      <w:r>
        <w:rPr>
          <w:rFonts w:ascii="Aptos" w:hAnsi="Aptos"/>
          <w:b w:val="false"/>
          <w:color w:val="243047"/>
          <w:sz w:val="20"/>
        </w:rPr>
        <w:t>Elegir tamaño y ubicación adecuados.</w:t>
      </w:r>
    </w:p>
    <w:p>
      <w:pPr>
        <w:pStyle w:val="Normal"/>
        <w:spacing w:before="100" w:after="100"/>
        <w:rPr/>
      </w:pPr>
      <w:r>
        <w:rPr>
          <w:b/>
          <w:color w:val="19BEFF"/>
          <w:sz w:val="26"/>
        </w:rPr>
        <w:t>Usos incorrectos</w:t>
      </w:r>
    </w:p>
    <w:p>
      <w:pPr>
        <w:pStyle w:val="ListBullet"/>
        <w:spacing w:before="0" w:after="80"/>
        <w:rPr/>
      </w:pPr>
      <w:r>
        <w:rPr>
          <w:rFonts w:ascii="Aptos" w:hAnsi="Aptos"/>
          <w:b/>
          <w:color w:val="00C489"/>
          <w:sz w:val="20"/>
        </w:rPr>
        <w:t xml:space="preserve">No deformar. </w:t>
      </w:r>
      <w:r>
        <w:rPr>
          <w:rFonts w:ascii="Aptos" w:hAnsi="Aptos"/>
          <w:b w:val="false"/>
          <w:color w:val="243047"/>
          <w:sz w:val="20"/>
        </w:rPr>
        <w:t>No estirar, comprimir, inclinar ni cambiar la relación entre símbolo y nombre.</w:t>
      </w:r>
    </w:p>
    <w:p>
      <w:pPr>
        <w:pStyle w:val="ListBullet"/>
        <w:spacing w:before="0" w:after="80"/>
        <w:rPr/>
      </w:pPr>
      <w:r>
        <w:rPr>
          <w:rFonts w:ascii="Aptos" w:hAnsi="Aptos"/>
          <w:b/>
          <w:color w:val="00C489"/>
          <w:sz w:val="20"/>
        </w:rPr>
        <w:t xml:space="preserve">No recolorear arbitrariamente. </w:t>
      </w:r>
      <w:r>
        <w:rPr>
          <w:rFonts w:ascii="Aptos" w:hAnsi="Aptos"/>
          <w:b w:val="false"/>
          <w:color w:val="243047"/>
          <w:sz w:val="20"/>
        </w:rPr>
        <w:t>No usar colores ajenos ni combinaciones con poco contraste.</w:t>
      </w:r>
    </w:p>
    <w:p>
      <w:pPr>
        <w:pStyle w:val="ListBullet"/>
        <w:spacing w:before="0" w:after="80"/>
        <w:rPr/>
      </w:pPr>
      <w:r>
        <w:rPr>
          <w:rFonts w:ascii="Aptos" w:hAnsi="Aptos"/>
          <w:b/>
          <w:color w:val="00C489"/>
          <w:sz w:val="20"/>
        </w:rPr>
        <w:t xml:space="preserve">No añadir efectos. </w:t>
      </w:r>
      <w:r>
        <w:rPr>
          <w:rFonts w:ascii="Aptos" w:hAnsi="Aptos"/>
          <w:b w:val="false"/>
          <w:color w:val="243047"/>
          <w:sz w:val="20"/>
        </w:rPr>
        <w:t>No aplicar sombras, biseles, contornos, brillos o degradados no aprobados.</w:t>
      </w:r>
    </w:p>
    <w:p>
      <w:pPr>
        <w:pStyle w:val="ListBullet"/>
        <w:spacing w:before="0" w:after="80"/>
        <w:rPr/>
      </w:pPr>
      <w:r>
        <w:rPr>
          <w:rFonts w:ascii="Aptos" w:hAnsi="Aptos"/>
          <w:b/>
          <w:color w:val="00C489"/>
          <w:sz w:val="20"/>
        </w:rPr>
        <w:t xml:space="preserve">No alterar elementos. </w:t>
      </w:r>
      <w:r>
        <w:rPr>
          <w:rFonts w:ascii="Aptos" w:hAnsi="Aptos"/>
          <w:b w:val="false"/>
          <w:color w:val="243047"/>
          <w:sz w:val="20"/>
        </w:rPr>
        <w:t>No cambiar la tipografía ni reordenar los componentes.</w:t>
      </w:r>
    </w:p>
    <w:p>
      <w:pPr>
        <w:pStyle w:val="ListBullet"/>
        <w:spacing w:before="0" w:after="80"/>
        <w:rPr/>
      </w:pPr>
      <w:r>
        <w:rPr>
          <w:rFonts w:ascii="Aptos" w:hAnsi="Aptos"/>
          <w:b/>
          <w:color w:val="00C489"/>
          <w:sz w:val="20"/>
        </w:rPr>
        <w:t xml:space="preserve">No usar fondos confusos. </w:t>
      </w:r>
      <w:r>
        <w:rPr>
          <w:rFonts w:ascii="Aptos" w:hAnsi="Aptos"/>
          <w:b w:val="false"/>
          <w:color w:val="243047"/>
          <w:sz w:val="20"/>
        </w:rPr>
        <w:t>Evitar fotografías o texturas que impidan leer la marca.</w:t>
      </w:r>
    </w:p>
    <w:p>
      <w:pPr>
        <w:pStyle w:val="ListBullet"/>
        <w:spacing w:before="0" w:after="80"/>
        <w:rPr/>
      </w:pPr>
      <w:r>
        <w:rPr>
          <w:rFonts w:ascii="Aptos" w:hAnsi="Aptos"/>
          <w:b/>
          <w:color w:val="00C489"/>
          <w:sz w:val="20"/>
        </w:rPr>
        <w:t xml:space="preserve">No reconstruir de memoria. </w:t>
      </w:r>
      <w:r>
        <w:rPr>
          <w:rFonts w:ascii="Aptos" w:hAnsi="Aptos"/>
          <w:b w:val="false"/>
          <w:color w:val="243047"/>
          <w:sz w:val="20"/>
        </w:rPr>
        <w:t>Utilizar siempre el archivo original.</w:t>
      </w:r>
    </w:p>
    <w:p>
      <w:pPr>
        <w:pStyle w:val="Normal"/>
        <w:spacing w:before="100" w:after="100"/>
        <w:rPr/>
      </w:pPr>
      <w:r>
        <w:rPr>
          <w:b/>
          <w:color w:val="19BEFF"/>
          <w:sz w:val="26"/>
        </w:rPr>
        <w:t>Aplicación en soportes</w:t>
      </w:r>
    </w:p>
    <w:p>
      <w:pPr>
        <w:pStyle w:val="Normal"/>
        <w:spacing w:lineRule="auto" w:line="269" w:before="0" w:after="100"/>
        <w:rPr/>
      </w:pPr>
      <w:r>
        <w:rPr>
          <w:b w:val="false"/>
          <w:i w:val="false"/>
          <w:color w:val="243047"/>
          <w:sz w:val="20"/>
        </w:rPr>
        <w:t>Web y aplicaciones: priorizar la versión horizontal y comprobar contraste. Documentos: usar la marca en portada y encabezados sin saturar las páginas. Redes sociales: usar el imagotipo cuadrado. Impresión: verificar perfiles de color, resolución y legibilidad.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60"/>
        <w:rPr/>
      </w:pPr>
      <w:r>
        <w:rPr>
          <w:b/>
          <w:color w:val="00C489"/>
          <w:sz w:val="16"/>
        </w:rPr>
        <w:t>MANUAL BÁSICO DE IDENTIDAD CORPORATIVA</w:t>
      </w:r>
    </w:p>
    <w:p>
      <w:pPr>
        <w:pStyle w:val="Normal"/>
        <w:spacing w:before="0" w:after="240"/>
        <w:rPr/>
      </w:pPr>
      <w:r>
        <w:rPr>
          <w:b/>
          <w:color w:val="0B1227"/>
          <w:sz w:val="48"/>
        </w:rPr>
        <w:t>08. Aplicación y control de la identidad</w:t>
      </w:r>
    </w:p>
    <w:p>
      <w:pPr>
        <w:pStyle w:val="Normal"/>
        <w:pBdr>
          <w:bottom w:val="single" w:sz="18" w:space="1" w:color="19BEFF"/>
        </w:pBdr>
        <w:spacing w:before="0" w:after="200"/>
        <w:rPr/>
      </w:pPr>
      <w:r>
        <w:rPr/>
      </w:r>
    </w:p>
    <w:p>
      <w:pPr>
        <w:pStyle w:val="Normal"/>
        <w:spacing w:before="100" w:after="100"/>
        <w:rPr/>
      </w:pPr>
      <w:r>
        <w:rPr>
          <w:b/>
          <w:color w:val="19BEFF"/>
          <w:sz w:val="26"/>
        </w:rPr>
        <w:t>Lista de comprobación</w:t>
      </w:r>
    </w:p>
    <w:p>
      <w:pPr>
        <w:pStyle w:val="Normal"/>
        <w:spacing w:before="0" w:after="80"/>
        <w:ind w:start="288"/>
        <w:rPr/>
      </w:pPr>
      <w:r>
        <w:rPr>
          <w:b w:val="false"/>
          <w:color w:val="243047"/>
          <w:sz w:val="20"/>
        </w:rPr>
        <w:t xml:space="preserve">☐ </w:t>
      </w:r>
      <w:r>
        <w:rPr>
          <w:b w:val="false"/>
          <w:color w:val="243047"/>
          <w:sz w:val="20"/>
        </w:rPr>
        <w:t>El nombre aparece como DataSafe Recovery (DSR).</w:t>
      </w:r>
    </w:p>
    <w:p>
      <w:pPr>
        <w:pStyle w:val="Normal"/>
        <w:spacing w:before="0" w:after="80"/>
        <w:ind w:start="288"/>
        <w:rPr/>
      </w:pPr>
      <w:r>
        <w:rPr>
          <w:b w:val="false"/>
          <w:color w:val="243047"/>
          <w:sz w:val="20"/>
        </w:rPr>
        <w:t xml:space="preserve">☐ </w:t>
      </w:r>
      <w:r>
        <w:rPr>
          <w:b w:val="false"/>
          <w:color w:val="243047"/>
          <w:sz w:val="20"/>
        </w:rPr>
        <w:t>La paleta mantiene azul marino, verde turquesa, cian y neutros.</w:t>
      </w:r>
    </w:p>
    <w:p>
      <w:pPr>
        <w:pStyle w:val="Normal"/>
        <w:spacing w:before="0" w:after="80"/>
        <w:ind w:start="288"/>
        <w:rPr/>
      </w:pPr>
      <w:r>
        <w:rPr>
          <w:b w:val="false"/>
          <w:color w:val="243047"/>
          <w:sz w:val="20"/>
        </w:rPr>
        <w:t xml:space="preserve">☐ </w:t>
      </w:r>
      <w:r>
        <w:rPr>
          <w:b w:val="false"/>
          <w:color w:val="243047"/>
          <w:sz w:val="20"/>
        </w:rPr>
        <w:t>El logotipo conserva proporciones, tipografía y área de seguridad.</w:t>
      </w:r>
    </w:p>
    <w:p>
      <w:pPr>
        <w:pStyle w:val="Normal"/>
        <w:spacing w:before="0" w:after="80"/>
        <w:ind w:start="288"/>
        <w:rPr/>
      </w:pPr>
      <w:r>
        <w:rPr>
          <w:b w:val="false"/>
          <w:color w:val="243047"/>
          <w:sz w:val="20"/>
        </w:rPr>
        <w:t xml:space="preserve">☐ </w:t>
      </w:r>
      <w:r>
        <w:rPr>
          <w:b w:val="false"/>
          <w:color w:val="243047"/>
          <w:sz w:val="20"/>
        </w:rPr>
        <w:t>El texto tiene contraste y tamaño legibles.</w:t>
      </w:r>
    </w:p>
    <w:p>
      <w:pPr>
        <w:pStyle w:val="Normal"/>
        <w:spacing w:before="0" w:after="80"/>
        <w:ind w:start="288"/>
        <w:rPr/>
      </w:pPr>
      <w:r>
        <w:rPr>
          <w:b w:val="false"/>
          <w:color w:val="243047"/>
          <w:sz w:val="20"/>
        </w:rPr>
        <w:t xml:space="preserve">☐ </w:t>
      </w:r>
      <w:r>
        <w:rPr>
          <w:b w:val="false"/>
          <w:color w:val="243047"/>
          <w:sz w:val="20"/>
        </w:rPr>
        <w:t>Las afirmaciones de seguridad y recuperación son verificables.</w:t>
      </w:r>
    </w:p>
    <w:p>
      <w:pPr>
        <w:pStyle w:val="Normal"/>
        <w:spacing w:before="0" w:after="80"/>
        <w:ind w:start="288"/>
        <w:rPr/>
      </w:pPr>
      <w:r>
        <w:rPr>
          <w:b w:val="false"/>
          <w:color w:val="243047"/>
          <w:sz w:val="20"/>
        </w:rPr>
        <w:t xml:space="preserve">☐ </w:t>
      </w:r>
      <w:r>
        <w:rPr>
          <w:b w:val="false"/>
          <w:color w:val="243047"/>
          <w:sz w:val="20"/>
        </w:rPr>
        <w:t>Los indicadores ODS reflejan datos medidos y no resultados inventados.</w:t>
      </w:r>
    </w:p>
    <w:p>
      <w:pPr>
        <w:pStyle w:val="Normal"/>
        <w:spacing w:before="0" w:after="80"/>
        <w:ind w:start="288"/>
        <w:rPr/>
      </w:pPr>
      <w:r>
        <w:rPr>
          <w:b w:val="false"/>
          <w:color w:val="243047"/>
          <w:sz w:val="20"/>
        </w:rPr>
        <w:t xml:space="preserve">☐ </w:t>
      </w:r>
      <w:r>
        <w:rPr>
          <w:b w:val="false"/>
          <w:color w:val="243047"/>
          <w:sz w:val="20"/>
        </w:rPr>
        <w:t>Los materiales técnicos no exponen datos confidenciales.</w:t>
      </w:r>
    </w:p>
    <w:p>
      <w:pPr>
        <w:pStyle w:val="Normal"/>
        <w:spacing w:before="100" w:after="100"/>
        <w:rPr/>
      </w:pPr>
      <w:r>
        <w:rPr>
          <w:b/>
          <w:color w:val="19BEFF"/>
          <w:sz w:val="26"/>
        </w:rPr>
        <w:t>Responsabilidad y actualización</w:t>
      </w:r>
    </w:p>
    <w:p>
      <w:pPr>
        <w:pStyle w:val="Normal"/>
        <w:spacing w:lineRule="auto" w:line="269" w:before="0" w:after="100"/>
        <w:rPr/>
      </w:pPr>
      <w:r>
        <w:rPr>
          <w:b w:val="false"/>
          <w:i w:val="false"/>
          <w:color w:val="243047"/>
          <w:sz w:val="20"/>
        </w:rPr>
        <w:t>La identidad visual y este manual deberán revisarse cuando cambien los servicios, la estrategia o los elementos gráficos. La persona responsable validará nuevas aplicaciones y conservará una versión maestra del logotipo.</w:t>
      </w:r>
    </w:p>
    <w:p>
      <w:pPr>
        <w:pStyle w:val="Normal"/>
        <w:spacing w:before="100" w:after="100"/>
        <w:rPr/>
      </w:pPr>
      <w:r>
        <w:rPr>
          <w:b/>
          <w:color w:val="19BEFF"/>
          <w:sz w:val="26"/>
        </w:rPr>
        <w:t>Cierre</w:t>
      </w:r>
    </w:p>
    <w:p>
      <w:pPr>
        <w:pStyle w:val="Normal"/>
        <w:spacing w:lineRule="auto" w:line="269" w:before="0" w:after="100"/>
        <w:rPr/>
      </w:pPr>
      <w:r>
        <w:rPr>
          <w:b w:val="false"/>
          <w:i w:val="false"/>
          <w:color w:val="243047"/>
          <w:sz w:val="20"/>
        </w:rPr>
        <w:t>DataSafe Recovery se identifica como una empresa tecnológica cercana, preventiva y fiable. Su identidad debe comunicar protección y continuidad, además de claridad, responsabilidad y compromiso con el desarrollo sostenible.</w:t>
      </w:r>
    </w:p>
    <w:p>
      <w:pPr>
        <w:pStyle w:val="Normal"/>
        <w:jc w:val="center"/>
        <w:rPr/>
      </w:pPr>
      <w:r>
        <w:rPr>
          <w:b/>
          <w:color w:val="00C489"/>
          <w:sz w:val="22"/>
        </w:rPr>
        <w:t>DATASAFE RECOVERY · VALENCIA</w:t>
      </w:r>
    </w:p>
    <w:p>
      <w:pPr>
        <w:pStyle w:val="Normal"/>
        <w:jc w:val="center"/>
        <w:rPr/>
      </w:pPr>
      <w:r>
        <w:rPr>
          <w:b w:val="false"/>
          <w:color w:val="5B6B82"/>
          <w:sz w:val="20"/>
        </w:rPr>
        <w:t>Tus datos a salvo. Tu negocio en marcha.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Yu Gothic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80"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Aptos" w:hAnsi="Aptos" w:eastAsia="Aptos" w:cs="Noto Sans Devanagari"/>
      <w:color w:val="auto"/>
      <w:kern w:val="2"/>
      <w:sz w:val="20"/>
      <w:szCs w:val="24"/>
      <w:lang w:val="es-ES" w:eastAsia="zh-CN" w:bidi="hi-IN"/>
    </w:rPr>
  </w:style>
  <w:style w:type="character" w:styleId="DefaultParagraphFont">
    <w:name w:val="Default Paragraph Font"/>
    <w:qFormat/>
    <w:rPr/>
  </w:style>
  <w:style w:type="character" w:styleId="Ninguno">
    <w:name w:val="Ninguno"/>
    <w:basedOn w:val="DefaultParagraphFont"/>
    <w:qFormat/>
    <w:rPr/>
  </w:style>
  <w:style w:type="paragraph" w:styleId="Encapalament">
    <w:name w:val="Encapçalamen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ex">
    <w:name w:val="Índex"/>
    <w:basedOn w:val="Normal"/>
    <w:qFormat/>
    <w:pPr>
      <w:suppressLineNumbers/>
    </w:pPr>
    <w:rPr>
      <w:rFonts w:cs="Arial"/>
    </w:rPr>
  </w:style>
  <w:style w:type="paragraph" w:styleId="Encapalamentuser">
    <w:name w:val="Encapçalament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exuser">
    <w:name w:val="Índex (user)"/>
    <w:basedOn w:val="Normal"/>
    <w:qFormat/>
    <w:pPr>
      <w:suppressLineNumbers/>
    </w:pPr>
    <w:rPr>
      <w:rFonts w:cs="Aria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ListBullet" w:customStyle="1">
    <w:name w:val="List Bullet"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s-ES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2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37</TotalTime>
  <Application>LibreOffice/26.2.6.3$Windows_X86_64 LibreOffice_project/8221e31b3ac356a1623c672912a3d2b492f7e3d1</Application>
  <AppVersion>15.0000</AppVersion>
  <Pages>10</Pages>
  <Words>1635</Words>
  <Characters>9936</Characters>
  <CharactersWithSpaces>11397</CharactersWithSpaces>
  <Paragraphs>181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2026-09-17T18:05:03Z</dcterms:created>
  <dc:creator/>
  <dc:description/>
  <dc:language>es-ES</dc:language>
  <cp:lastModifiedBy/>
  <dcterms:modified xsi:type="dcterms:W3CDTF">2026-09-22T16:36:09Z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