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9x7w2zrp07om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u w:val="single"/>
          <w:rtl w:val="0"/>
        </w:rPr>
        <w:t xml:space="preserve">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8e181b"/>
          <w:sz w:val="18"/>
          <w:szCs w:val="18"/>
          <w:highlight w:val="white"/>
          <w:rtl w:val="0"/>
        </w:rPr>
        <w:t xml:space="preserve">Cas de test</w:t>
      </w:r>
      <w:r w:rsidDel="00000000" w:rsidR="00000000" w:rsidRPr="00000000">
        <w:rPr>
          <w:rFonts w:ascii="Verdana" w:cs="Verdana" w:eastAsia="Verdana" w:hAnsi="Verdana"/>
          <w:color w:val="8e181b"/>
          <w:sz w:val="18"/>
          <w:szCs w:val="18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3366"/>
          <w:sz w:val="18"/>
          <w:szCs w:val="18"/>
          <w:highlight w:val="white"/>
          <w:rtl w:val="0"/>
        </w:rPr>
        <w:t xml:space="preserve">Level::initOK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Couverture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préconditions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Objectif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précondition satisfaite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Conditions initiales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vide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Opérations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C0 := init(10, 10)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Oracle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postconditions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width(C0) = 10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heigth(C0) = 10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Verdana" w:cs="Verdana" w:eastAsia="Verdana" w:hAnsi="Verdana"/>
          <w:color w:val="e5090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isEditting = true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invariants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height(C0) &gt; 5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width() &gt; 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Rapport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e5090e"/>
          <w:sz w:val="18"/>
          <w:szCs w:val="18"/>
          <w:highlight w:val="white"/>
          <w:rtl w:val="0"/>
        </w:rPr>
        <w:t xml:space="preserve">width(C0) ≠ 10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"Le width initiale devrait être 10."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e5090e"/>
          <w:sz w:val="18"/>
          <w:szCs w:val="18"/>
          <w:highlight w:val="white"/>
          <w:rtl w:val="0"/>
        </w:rPr>
        <w:t xml:space="preserve">heigth(C0) ≠ 10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"Le heigth initiale n’est pas 10."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8e181b"/>
          <w:sz w:val="18"/>
          <w:szCs w:val="18"/>
          <w:highlight w:val="white"/>
          <w:rtl w:val="0"/>
        </w:rPr>
        <w:t xml:space="preserve">Cas de test</w:t>
      </w:r>
      <w:r w:rsidDel="00000000" w:rsidR="00000000" w:rsidRPr="00000000">
        <w:rPr>
          <w:rFonts w:ascii="Verdana" w:cs="Verdana" w:eastAsia="Verdana" w:hAnsi="Verdana"/>
          <w:color w:val="8e181b"/>
          <w:sz w:val="18"/>
          <w:szCs w:val="18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3366"/>
          <w:sz w:val="18"/>
          <w:szCs w:val="18"/>
          <w:highlight w:val="white"/>
          <w:rtl w:val="0"/>
        </w:rPr>
        <w:t xml:space="preserve">Level::initKO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Couverture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préconditions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Objectif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précondition non-satisfaite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Conditions initiales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vide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Opérations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C0 := init(-2 , -10)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Oracle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Une exception </w:t>
      </w:r>
      <w:r w:rsidDel="00000000" w:rsidR="00000000" w:rsidRPr="00000000">
        <w:rPr>
          <w:rFonts w:ascii="Courier New" w:cs="Courier New" w:eastAsia="Courier New" w:hAnsi="Courier New"/>
          <w:color w:val="003366"/>
          <w:sz w:val="18"/>
          <w:szCs w:val="18"/>
          <w:highlight w:val="white"/>
          <w:rtl w:val="0"/>
        </w:rPr>
        <w:t xml:space="preserve">PreconditionError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doit être signalée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Rapport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pas d’exception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"Une exception </w:t>
      </w:r>
      <w:r w:rsidDel="00000000" w:rsidR="00000000" w:rsidRPr="00000000">
        <w:rPr>
          <w:rFonts w:ascii="Courier New" w:cs="Courier New" w:eastAsia="Courier New" w:hAnsi="Courier New"/>
          <w:color w:val="003366"/>
          <w:sz w:val="18"/>
          <w:szCs w:val="18"/>
          <w:highlight w:val="white"/>
          <w:rtl w:val="0"/>
        </w:rPr>
        <w:t xml:space="preserve">PreconditionError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doit être signalée."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8e181b"/>
          <w:sz w:val="18"/>
          <w:szCs w:val="18"/>
          <w:highlight w:val="white"/>
          <w:rtl w:val="0"/>
        </w:rPr>
        <w:t xml:space="preserve">Cas de test</w:t>
      </w:r>
      <w:r w:rsidDel="00000000" w:rsidR="00000000" w:rsidRPr="00000000">
        <w:rPr>
          <w:rFonts w:ascii="Verdana" w:cs="Verdana" w:eastAsia="Verdana" w:hAnsi="Verdana"/>
          <w:color w:val="8e181b"/>
          <w:sz w:val="18"/>
          <w:szCs w:val="18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3366"/>
          <w:sz w:val="18"/>
          <w:szCs w:val="18"/>
          <w:highlight w:val="white"/>
          <w:rtl w:val="0"/>
        </w:rPr>
        <w:t xml:space="preserve">SUT::préparation de terrain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Couverture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scénario utilisateur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Objectif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 initialisation level et choix de l’entrée de la sortie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Conditions initiales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T0 := Level::init( 10, 10)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Opérations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T1 :=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for (int i = 0; i &lt; 10;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ab/>
        <w:tab/>
        <w:tab/>
        <w:t xml:space="preserve">Level::setNature(T0, 0, i, Nature.METAL);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ab/>
        <w:tab/>
        <w:tab/>
        <w:t xml:space="preserve">Level::setNature(T0, 9, i, Nature.METAL);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ab/>
        <w:tab/>
        <w:t xml:space="preserve">for (int i = 0; i &lt; 10 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ab/>
        <w:tab/>
        <w:tab/>
        <w:t xml:space="preserve">Level::setNature(T0, i, 0, Nature.METAL);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ab/>
        <w:tab/>
        <w:tab/>
        <w:t xml:space="preserve">Level::setNature(T0, i, 9, Nature.METAL);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T2 := Level::goPlay(T0, 2, 2, 8,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Oracle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for (int i = 0; i &lt; 10;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ab/>
        <w:tab/>
        <w:tab/>
        <w:t xml:space="preserve">Level::nature(T1, 0, i) = Nature.METAL;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ab/>
        <w:tab/>
        <w:tab/>
        <w:t xml:space="preserve">Level::nature(T1, 9, ) =  Nature.METAL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ab/>
        <w:tab/>
        <w:t xml:space="preserve">Level::exitX(T2) =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ab/>
        <w:tab/>
        <w:t xml:space="preserve">Level::exitY(T2) =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ab/>
        <w:tab/>
        <w:t xml:space="preserve">Level::entranceX(T2) 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ab/>
        <w:tab/>
        <w:t xml:space="preserve">Level::entranceY(T2) = 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e5090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e5090e"/>
          <w:sz w:val="18"/>
          <w:szCs w:val="18"/>
          <w:highlight w:val="white"/>
          <w:rtl w:val="0"/>
        </w:rPr>
        <w:t xml:space="preserve">Rapport</w:t>
      </w: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e5090e"/>
          <w:sz w:val="18"/>
          <w:szCs w:val="18"/>
          <w:highlight w:val="white"/>
          <w:rtl w:val="0"/>
        </w:rPr>
        <w:t xml:space="preserve">Level::exitX(T2) ≠ 8 || Level::exitY(T2) ≠ 8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"L’entrée n’a pas sa position"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e5090e"/>
          <w:sz w:val="18"/>
          <w:szCs w:val="18"/>
          <w:highlight w:val="white"/>
          <w:rtl w:val="0"/>
        </w:rPr>
        <w:t xml:space="preserve">Level::entranceX(T2) ≠ 2 || Level::entranceY(T2) ≠ 2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e5090e"/>
          <w:sz w:val="18"/>
          <w:szCs w:val="18"/>
          <w:highlight w:val="white"/>
          <w:rtl w:val="0"/>
        </w:rPr>
        <w:t xml:space="preserve">"La quantité transvasée dans la cuve de sortie n’est pas correcte."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  <w:font w:name="Courier New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8e181b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color w:val="e5090e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cs="Verdana" w:eastAsia="Verdana" w:hAnsi="Verdana"/>
        <w:color w:val="e5090e"/>
        <w:highlight w:val="white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8e181b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color w:val="e5090e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cs="Verdana" w:eastAsia="Verdana" w:hAnsi="Verdana"/>
        <w:color w:val="e5090e"/>
        <w:highlight w:val="white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8e181b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color w:val="e5090e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cs="Verdana" w:eastAsia="Verdana" w:hAnsi="Verdana"/>
        <w:color w:val="e5090e"/>
        <w:highlight w:val="white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