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สคริปต์นำเสนอ LifeLab CRM</w:t>
      </w:r>
    </w:p>
    <w:p>
      <w:pPr>
        <w:pStyle w:val="Subtitle"/>
      </w:pPr>
      <w:r>
        <w:t>บทพูดและขั้นตอนสาธิตสำหรับลูกค้า ใช้เวลาประมาณ 15 นาที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ฉบับ 1.2  วันที่ 29 กันยายน 2569  ฟอนต์ Noto Sans Thai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เป้าหมายคือให้ลูกค้าเห็นเส้นทางงานจากข้อมูลลูกค้าไปถึงการขาย การชำระ การเรียน และใบประกาศ พร้อม review flow ใหม่ที่รับลิงก์ 2C2P จาก PEAK แล้วแจ้ง Email/SMS อัตโนมัติ ทุกธุรกรรมเป็นการจำลอง ควรพูดขอบเขตนี้ก่อนเริ่มเพื่อให้ผู้ชมประเมินระบบได้ตรงกัน</w:t>
      </w:r>
    </w:p>
    <w:p>
      <w:pPr>
        <w:pStyle w:val="Heading1"/>
      </w:pPr>
      <w:r>
        <w:t>เตรียมก่อนนำเสนอ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1. เริ่มที่ Login ใช้ user05 / 12345 เข้า Dashboard ด้วยสิทธิ์ผู้บริหาร หากมี session เดิมให้กดออกจากระบบก่อนนำเสนอ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2. หากต้องการใช้ตัวเลขตามสคริปต์ ให้ส่งออกสำรองแล้วคืน seed ก่อนเริ่ม ลูกค้าสมมติ 24 ราย ยอดรับชำระ 1,002,000 บาท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3. เตรียม INV-2609-005 สำหรับลิงก์สำเร็จ INV-2609-006 สำหรับ SMS ล้มเหลว และ PAY-3013 สำหรับอนุมัติยอด 12,000 บาท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4. เปิดคู่มือและขอบเขต 72 ข้อไว้ประกอบการตอบคำถาม ไม่ใช้ข้อมูลลูกค้าจริงในการนำเสนอ</w:t>
      </w:r>
    </w:p>
    <w:p>
      <w:pPr>
        <w:pStyle w:val="Heading1"/>
      </w:pPr>
      <w:r>
        <w:t>0 ถึง 1 นาที เข้าสู่ระบบและภาพรวม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การกระทำ: แสดง Login กรอก user05 / 12345 เข้า Dashboard แล้วสลับ Light และ Dark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บทพูด: “วันนี้เราจะดูงานหนึ่งเส้นตั้งแต่รับลูกค้า ขายคอร์ส รับชำระ ไปถึงออกใบประกาศ แต่ละแผนกเห็นข้อมูลตามบทบาท เดโมนี้ใช้ข้อมูลสมมติและยังไม่ส่งข้อความหรือตัดเงินจริง”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ผลที่ควรเห็น: KPI เปลี่ยนตามข้อมูลใน browser และธีมสลับได้</w:t>
      </w:r>
    </w:p>
    <w:p>
      <w:pPr>
        <w:pStyle w:val="Heading1"/>
      </w:pPr>
      <w:r>
        <w:t>1 ถึง 3 นาที ลูกค้าและงานขาย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การกระทำ: เปิด ณิชา วัฒนกุลใน Customer 360 แล้วไป Pipeline และเคส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บทพูด: “ข้อมูลติดต่อ การขาย การเงิน ผลเรียน และประวัติเคสอยู่ในโปรไฟล์เดียว ฝ่ายขายรู้ว่าต้องติดตามอะไรต่อ และทุก Lead หรือเคสมีเจ้าของที่รับผิดชอบ”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ผลที่ควรเห็น: แสดง 9 หมวดและ Next Action ทดลอง validation ปิดเคสโดยไม่มี Resolution</w:t>
      </w:r>
    </w:p>
    <w:p>
      <w:pPr>
        <w:pStyle w:val="Heading1"/>
      </w:pPr>
      <w:r>
        <w:t>3 ถึง 6 นาที ลิงก์ชำระอัตโนมัติ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การกระทำ: การเงิน → 2C2P และแจ้งเตือน → เลือกชำระ 2C2P → INV-2609-005 → สถานการณ์สำเร็จ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บทพูด: “เมื่อเลือก 2C2P ระบบจะตรวจรหัสลูกค้าและใบแจ้งหนี้ PEAK แล้วรับลิงก์กลับมา จากนั้นแจ้งทาง Email และ SMS โดยไม่ต้องคัดลอกข้อความเอง ในหน้านี้เราดูผู้รับ ข้อความ และสถานะของแต่ละช่องทางได้”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ผลที่ควรเห็น: ลิงก์ยอด 62,000 บาทและข้อความ 2 รายการปรากฏ เปิดหน้าชำระจำลอง และเลือกใบเดิมซ้ำเพื่อแสดงว่าไม่ส่งซ้ำ</w:t>
      </w:r>
    </w:p>
    <w:p>
      <w:pPr>
        <w:pStyle w:val="Heading1"/>
      </w:pPr>
      <w:r>
        <w:t>6 ถึง 7 นาที กรณีผู้ให้บริการขัดข้อง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การกระทำ: เลือก INV-2609-006 สถานการณ์ SMS ล้มเหลว แล้วกดลองส่งใหม่เฉพาะ SMS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บทพูด: “หากช่องทางหนึ่งล้มเหลว ทีมงานเห็นเหตุผลและลองส่งเฉพาะช่องทางนั้นได้ Email ที่ส่งสำเร็จแล้วจะไม่ถูกส่งซ้ำ ถ้า PEAK ยังไม่ส่งลิงก์กลับมา ระบบจะยังไม่แจ้งลูกค้า”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ผลที่ควรเห็น: Email 1 ครั้ง SMS 2 ครั้งหลัง Retry ใช้ INV-2609-007 สถานการณ์ PEAK ไม่พร้อมหากต้องการสาธิตเพิ่ม</w:t>
      </w:r>
    </w:p>
    <w:p>
      <w:pPr>
        <w:pStyle w:val="Heading1"/>
      </w:pPr>
      <w:r>
        <w:t>7 ถึง 9 นาที รับชำระและ PEAK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การกระทำ: รายการชำระและสลิป → อนุมัติ PAY-3013 → การเชื่อมต่อ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บทพูด: “การส่งลิงก์ยังไม่ถือว่าลูกค้าชำระแล้ว ต้องมีผลชำระที่ตรวจสอบก่อนนับยอด เดโมนี้ใช้รายการสลิปรออนุมัติให้เห็นการแยกผู้เสนอและผู้อนุมัติ หลังอนุมัติจะสร้างคิว PEAK แยกแต่ละรายการ”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ผลที่ควรเห็น: ยอดรวมเป็น 1,014,000 บาท ยอดค้าง INV-2609-005 เป็น 50,000 บาท ลิงก์ยอดเดิมไม่พร้อมใช้ และมี key peak:payment:PAY-3013</w:t>
      </w:r>
    </w:p>
    <w:p>
      <w:pPr>
        <w:pStyle w:val="Heading1"/>
      </w:pPr>
      <w:r>
        <w:t>9 ถึง 11 นาที การเรียนและใบประกาศ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การกระทำ: คอร์สและใบประกาศ → ENR-4002 เทียบ ENR-4005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บทพูด: “การออกใบประกาศต้องครบผลเรียน Attendance ผลสอบ การตรวจของแอดมิน ยอดชำระ และการอนุมัติผู้บริหาร จึงไม่ออกให้เพียงเพราะเรียนจบอย่างเดียว”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ผลที่ควรเห็น: รายการที่ผ่านครบปลดล็อกได้ รายการที่ยังไม่ครบถูกปิดปุ่ม หลังปลดล็อกดู Printed Packed Tracking</w:t>
      </w:r>
    </w:p>
    <w:p>
      <w:pPr>
        <w:pStyle w:val="Heading1"/>
      </w:pPr>
      <w:r>
        <w:t>11 ถึง 13 นาที งานติดตามและมุมมองทีม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การกระทำ: เปิด Marketing Automation แล้วเลือกบทบาทปฏิบัติการ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บทพูด: “ทีมการตลาดเห็นเหตุผลของกลุ่มเป้าหมายและตรวจข้อความก่อนส่ง งานติดตามทดสอบได้จากกฎ เมื่อเปลี่ยนบทบาท เมนูและข้อมูลปรับตามหน้าที่ ตัวเลือกนี้ใช้ review สิทธิ์ในเดโม ส่วนระบบจริงต้องตรวจสิทธิ์ที่ server”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ผลที่ควรเห็น: แสดง Preview การยกเว้น Opt-out และซ่อนการเงินในมุมมองปฏิบัติการ</w:t>
      </w:r>
    </w:p>
    <w:p>
      <w:pPr>
        <w:pStyle w:val="Heading1"/>
      </w:pPr>
      <w:r>
        <w:t>13 ถึง 15 นาที ขอบเขตและขั้นตอนถัดไป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การกระทำ: กลับผู้บริหาร เปิด Audit และเอกสารขอบเขต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บทพูด: “วันนี้เราทดลองหน้าจอและกฎธุรกิจได้แล้ว เอกสาร 72 ข้อระบุสิ่งที่เดโมทำได้และสิ่งที่ยังต้องเชื่อมจริง ขั้นต่อไปคือยืนยันข้อมูล API ของ PEAK โดยเฉพาะลิงก์ 2C2P ตั้งค่า provider แล้วทำ UAT ก่อนรับข้อมูลจริง”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ผลที่ควรเห็น: แสดง before และ after พร้อมเอกสารขอบเขต ไม่สรุปว่าผ่านตรวจรับ Production</w:t>
      </w:r>
    </w:p>
    <w:p>
      <w:pPr>
        <w:pStyle w:val="Heading1"/>
      </w:pPr>
      <w:r>
        <w:t>คำถามที่พบบ่อยและคำตอบที่ตรงกับเดโม</w:t>
      </w:r>
    </w:p>
    <w:p>
      <w:pPr>
        <w:pStyle w:val="Heading2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ส่ง SMS หรืออีเมลจริงหรือยัง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ยังเป็น DemoSent ใน browser มีข้อความและสถานะให้ review แต่ยังไม่เชื่อมผู้ให้บริการส่งจริง</w:t>
      </w:r>
    </w:p>
    <w:p>
      <w:pPr>
        <w:pStyle w:val="Heading2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PEAK มี API ลิงก์ 2C2P แน่นอนหรือไม่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เอกสารที่ตรวจสอบยังไม่ยืนยัน endpoint นี้ ต้องให้ PEAK ยืนยันตามบัญชีที่ใช้งานจริงก่อนเปิด Live mode</w:t>
      </w:r>
    </w:p>
    <w:p>
      <w:pPr>
        <w:pStyle w:val="Heading2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ลูกค้ากดลิงก์แล้วจ่ายได้หรือไม่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รุ่นนี้ใช้ URL .invalid และหน้าชำระตัวอย่างใน CRM เพื่อสาธิต ไม่ใช่ลิงก์เก็บเงินจริง</w:t>
      </w:r>
    </w:p>
    <w:p>
      <w:pPr>
        <w:pStyle w:val="Heading2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แชร์ข้อมูลกับทีมหลายคนหรือยัง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แต่ละ browser เก็บข้อมูลของตนเอง ระบบจริงต้องมี shared database และ Auth</w:t>
      </w:r>
    </w:p>
    <w:p>
      <w:pPr>
        <w:pStyle w:val="Heading2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ข้อกำหนดทั้ง 72 ข้อเสร็จครบหรือไม่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เอกสาร coverage ครบทุก ID แต่หลายข้อเป็น flow จำลองหรือยังมีงาน Production เหลือ จึงยังไม่ใช่ผลตรวจรับครบ 72 ข้อ</w:t>
      </w:r>
    </w:p>
    <w:p>
      <w:pPr>
        <w:pStyle w:val="Heading1"/>
      </w:pPr>
      <w:r>
        <w:t>แผนสำรองระหว่างนำเสนอ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หากเลขหรือลิงก์ไม่ตรงสคริปต์ ให้ตรวจว่าเคยทดลองมาก่อนหรือไม่ ใช้ข้อมูลล่าสุดอธิบายแทน หรือสำรองแล้วคืน seed หากเน็ตขัดข้อง ใช้รุ่นในเครื่องที่ build ไว้ ถ้า flow ถูกบล็อกให้เปิดข้อความ validation และอธิบายเงื่อนไข ไม่แก้สถานะเพื่อให้ดูเหมือนผ่าน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Thai" w:hAnsi="Noto Sans Thai" w:eastAsia="Noto Sans Thai" w:cs="Noto Sans Thai"/>
        <w:color w:val="000000"/>
        <w:sz w:val="18"/>
        <w:szCs w:val="18"/>
        <w:lang w:val="th-TH" w:eastAsia="th-TH"/>
      </w:rPr>
      <w:t xml:space="preserve">LifeLab CRM  •  ฉบับ 1.2  •  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Thai" w:hAnsi="Noto Sans Thai" w:eastAsia="Noto Sans Thai" w:cs="Noto Sans Thai"/>
        <w:color w:val="000000"/>
        <w:sz w:val="18"/>
        <w:szCs w:val="18"/>
        <w:lang w:val="th-TH" w:eastAsia="th-TH"/>
      </w:rPr>
      <w:t>LIFELAB CRM     เอกสารประกอบการสาธิต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400" w:lineRule="exact"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40" w:line="400" w:lineRule="exact"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40" w:line="400" w:lineRule="exact"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60" w:line="544" w:lineRule="exact"/>
      <w:outlineLvl w:val="0"/>
    </w:pPr>
    <w:rPr>
      <w:rFonts w:asciiTheme="majorHAnsi" w:eastAsiaTheme="majorEastAsia" w:hAnsiTheme="majorHAnsi" w:cstheme="majorBidi" w:ascii="Noto Sans Thai" w:hAnsi="Noto Sans Thai"/>
      <w:b/>
      <w:bCs/>
      <w:i w:val="0"/>
      <w:color w:val="000000"/>
      <w:sz w:val="34"/>
      <w:rFonts w:ascii="Noto Sans Thai" w:hAnsi="Noto Sans Thai" w:eastAsia="Noto Sans Thai" w:cs="Noto Sans Thai"/>
      <w:szCs w:val="34"/>
      <w:bCs w:val="1"/>
      <w:iCs w:val="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 w:line="416" w:lineRule="exact"/>
      <w:outlineLvl w:val="1"/>
    </w:pPr>
    <w:rPr>
      <w:rFonts w:asciiTheme="majorHAnsi" w:eastAsiaTheme="majorEastAsia" w:hAnsiTheme="majorHAnsi" w:cstheme="majorBidi" w:ascii="Noto Sans Thai" w:hAnsi="Noto Sans Thai"/>
      <w:b/>
      <w:bCs/>
      <w:i w:val="0"/>
      <w:color w:val="000000"/>
      <w:sz w:val="26"/>
      <w:rFonts w:ascii="Noto Sans Thai" w:hAnsi="Noto Sans Thai" w:eastAsia="Noto Sans Thai" w:cs="Noto Sans Thai"/>
      <w:szCs w:val="26"/>
      <w:bCs w:val="1"/>
      <w:iCs w:val="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 w:line="352" w:lineRule="exact"/>
      <w:outlineLvl w:val="2"/>
    </w:pPr>
    <w:rPr>
      <w:rFonts w:asciiTheme="majorHAnsi" w:eastAsiaTheme="majorEastAsia" w:hAnsiTheme="majorHAnsi" w:cstheme="majorBidi" w:ascii="Noto Sans Thai" w:hAnsi="Noto Sans Thai"/>
      <w:b/>
      <w:bCs/>
      <w:i w:val="0"/>
      <w:color w:val="000000"/>
      <w:sz w:val="22"/>
      <w:rFonts w:ascii="Noto Sans Thai" w:hAnsi="Noto Sans Thai" w:eastAsia="Noto Sans Thai" w:cs="Noto Sans Thai"/>
      <w:szCs w:val="22"/>
      <w:bCs w:val="1"/>
      <w:iCs w:val="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40" w:line="400" w:lineRule="exact"/>
      <w:outlineLvl w:val="3"/>
    </w:pPr>
    <w:rPr>
      <w:rFonts w:asciiTheme="majorHAnsi" w:eastAsiaTheme="majorEastAsia" w:hAnsiTheme="majorHAnsi" w:cstheme="majorBidi" w:ascii="Noto Sans Thai" w:hAnsi="Noto Sans Thai"/>
      <w:b/>
      <w:bCs/>
      <w:i/>
      <w:iCs/>
      <w:color w:val="000000"/>
      <w:sz w:val="22"/>
      <w:rFonts w:ascii="Noto Sans Thai" w:hAnsi="Noto Sans Thai" w:eastAsia="Noto Sans Thai" w:cs="Noto Sans Thai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140" w:line="400" w:lineRule="exact"/>
      <w:outlineLvl w:val="4"/>
    </w:pPr>
    <w:rPr>
      <w:rFonts w:asciiTheme="majorHAnsi" w:eastAsiaTheme="majorEastAsia" w:hAnsiTheme="majorHAnsi" w:cstheme="majorBidi"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140" w:line="400" w:lineRule="exact"/>
      <w:outlineLvl w:val="5"/>
    </w:pPr>
    <w:rPr>
      <w:rFonts w:asciiTheme="majorHAnsi" w:eastAsiaTheme="majorEastAsia" w:hAnsiTheme="majorHAnsi" w:cstheme="majorBidi" w:ascii="Noto Sans Thai" w:hAnsi="Noto Sans Thai"/>
      <w:i/>
      <w:iCs/>
      <w:color w:val="000000"/>
      <w:sz w:val="22"/>
      <w:rFonts w:ascii="Noto Sans Thai" w:hAnsi="Noto Sans Thai" w:eastAsia="Noto Sans Thai" w:cs="Noto Sans Thai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140" w:line="400" w:lineRule="exact"/>
      <w:outlineLvl w:val="6"/>
    </w:pPr>
    <w:rPr>
      <w:rFonts w:asciiTheme="majorHAnsi" w:eastAsiaTheme="majorEastAsia" w:hAnsiTheme="majorHAnsi" w:cstheme="majorBidi" w:ascii="Noto Sans Thai" w:hAnsi="Noto Sans Thai"/>
      <w:i/>
      <w:iCs/>
      <w:color w:val="000000"/>
      <w:sz w:val="22"/>
      <w:rFonts w:ascii="Noto Sans Thai" w:hAnsi="Noto Sans Thai" w:eastAsia="Noto Sans Thai" w:cs="Noto Sans Thai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140" w:line="400" w:lineRule="exact"/>
      <w:outlineLvl w:val="7"/>
    </w:pPr>
    <w:rPr>
      <w:rFonts w:asciiTheme="majorHAnsi" w:eastAsiaTheme="majorEastAsia" w:hAnsiTheme="majorHAnsi" w:cstheme="majorBidi" w:ascii="Noto Sans Thai" w:hAnsi="Noto Sans Thai"/>
      <w:color w:val="000000"/>
      <w:sz w:val="22"/>
      <w:szCs w:val="20"/>
      <w:rFonts w:ascii="Noto Sans Thai" w:hAnsi="Noto Sans Thai" w:eastAsia="Noto Sans Thai" w:cs="Noto Sans Thai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140" w:line="400" w:lineRule="exact"/>
      <w:outlineLvl w:val="8"/>
    </w:pPr>
    <w:rPr>
      <w:rFonts w:asciiTheme="majorHAnsi" w:eastAsiaTheme="majorEastAsia" w:hAnsiTheme="majorHAnsi" w:cstheme="majorBidi" w:ascii="Noto Sans Thai" w:hAnsi="Noto Sans Thai"/>
      <w:i/>
      <w:iCs/>
      <w:color w:val="000000"/>
      <w:sz w:val="22"/>
      <w:szCs w:val="20"/>
      <w:rFonts w:ascii="Noto Sans Thai" w:hAnsi="Noto Sans Thai" w:eastAsia="Noto Sans Thai" w:cs="Noto Sans Tha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140" w:line="400" w:lineRule="exact"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768" w:lineRule="exact" w:before="200"/>
      <w:contextualSpacing/>
    </w:pPr>
    <w:rPr>
      <w:rFonts w:asciiTheme="majorHAnsi" w:eastAsiaTheme="majorEastAsia" w:hAnsiTheme="majorHAnsi" w:cstheme="majorBidi" w:ascii="Noto Sans Thai" w:hAnsi="Noto Sans Thai"/>
      <w:b/>
      <w:i w:val="0"/>
      <w:color w:val="000000"/>
      <w:spacing w:val="5"/>
      <w:kern w:val="28"/>
      <w:sz w:val="48"/>
      <w:rFonts w:ascii="Noto Sans Thai" w:hAnsi="Noto Sans Thai" w:eastAsia="Noto Sans Thai" w:cs="Noto Sans Thai"/>
      <w:szCs w:val="48"/>
      <w:bCs w:val="1"/>
      <w:iCs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 w:line="416" w:lineRule="exact" w:before="200"/>
    </w:pPr>
    <w:rPr>
      <w:rFonts w:asciiTheme="majorHAnsi" w:eastAsiaTheme="majorEastAsia" w:hAnsiTheme="majorHAnsi" w:cstheme="majorBidi" w:ascii="Noto Sans Thai" w:hAnsi="Noto Sans Thai"/>
      <w:b w:val="0"/>
      <w:i w:val="0"/>
      <w:iCs/>
      <w:color w:val="000000"/>
      <w:spacing w:val="15"/>
      <w:sz w:val="26"/>
      <w:rFonts w:ascii="Noto Sans Thai" w:hAnsi="Noto Sans Thai" w:eastAsia="Noto Sans Thai" w:cs="Noto Sans Thai"/>
      <w:szCs w:val="26"/>
      <w:bCs w:val="0"/>
      <w:iCs w:val="0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140" w:line="400" w:lineRule="exact"/>
      <w:ind w:left="720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40" w:line="400" w:lineRule="exact"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40" w:line="400" w:lineRule="exact"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40" w:line="400" w:lineRule="exact"/>
    </w:pPr>
    <w:rPr>
      <w:rFonts w:ascii="Noto Sans Thai" w:hAnsi="Noto Sans Thai"/>
      <w:color w:val="000000"/>
      <w:sz w:val="22"/>
      <w:szCs w:val="16"/>
      <w:rFonts w:ascii="Noto Sans Thai" w:hAnsi="Noto Sans Thai" w:eastAsia="Noto Sans Thai" w:cs="Noto Sans Thai"/>
      <w:szCs w:val="22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after="140" w:line="400" w:lineRule="exact"/>
      <w:ind w:left="360" w:hanging="360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2">
    <w:name w:val="List 2"/>
    <w:basedOn w:val="Normal"/>
    <w:uiPriority w:val="99"/>
    <w:unhideWhenUsed/>
    <w:rsid w:val="00326F90"/>
    <w:pPr>
      <w:spacing w:after="140" w:line="400" w:lineRule="exact"/>
      <w:ind w:left="720" w:hanging="360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3">
    <w:name w:val="List 3"/>
    <w:basedOn w:val="Normal"/>
    <w:uiPriority w:val="99"/>
    <w:unhideWhenUsed/>
    <w:rsid w:val="00326F90"/>
    <w:pPr>
      <w:spacing w:after="140" w:line="400" w:lineRule="exact"/>
      <w:ind w:left="1080" w:hanging="360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0" w:line="400" w:lineRule="exact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140" w:line="400" w:lineRule="exact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140" w:line="400" w:lineRule="exact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40" w:line="400" w:lineRule="exact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140" w:line="400" w:lineRule="exact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after="140" w:line="400" w:lineRule="exact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40" w:line="400" w:lineRule="exact"/>
      <w:ind w:left="360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40" w:line="400" w:lineRule="exact"/>
      <w:ind w:left="720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40" w:line="400" w:lineRule="exact"/>
      <w:ind w:left="1080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40" w:line="400" w:lineRule="exact"/>
    </w:pPr>
    <w:rPr>
      <w:rFonts w:ascii="Noto Sans Thai" w:hAnsi="Noto Sans Thai"/>
      <w:color w:val="000000"/>
      <w:sz w:val="22"/>
      <w:szCs w:val="20"/>
      <w:rFonts w:ascii="Noto Sans Thai" w:hAnsi="Noto Sans Thai" w:eastAsia="Noto Sans Thai" w:cs="Noto Sans Thai"/>
      <w:szCs w:val="22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140" w:line="400" w:lineRule="exact"/>
    </w:pPr>
    <w:rPr>
      <w:rFonts w:ascii="Noto Sans Thai" w:hAnsi="Noto Sans Thai"/>
      <w:i/>
      <w:iCs/>
      <w:color w:val="000000"/>
      <w:sz w:val="22"/>
      <w:rFonts w:ascii="Noto Sans Thai" w:hAnsi="Noto Sans Thai" w:eastAsia="Noto Sans Thai" w:cs="Noto Sans Thai"/>
      <w:szCs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400" w:lineRule="exact" w:after="140"/>
    </w:pPr>
    <w:rPr>
      <w:rFonts w:ascii="Noto Sans Thai" w:hAnsi="Noto Sans Thai"/>
      <w:b/>
      <w:bCs/>
      <w:color w:val="000000"/>
      <w:sz w:val="22"/>
      <w:szCs w:val="18"/>
      <w:rFonts w:ascii="Noto Sans Thai" w:hAnsi="Noto Sans Thai" w:eastAsia="Noto Sans Thai" w:cs="Noto Sans Thai"/>
      <w:szCs w:val="22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140" w:line="400" w:lineRule="exact"/>
      <w:ind w:left="936" w:right="936"/>
    </w:pPr>
    <w:rPr>
      <w:rFonts w:ascii="Noto Sans Thai" w:hAnsi="Noto Sans Thai"/>
      <w:b/>
      <w:bCs/>
      <w:i/>
      <w:iCs/>
      <w:color w:val="000000"/>
      <w:sz w:val="22"/>
      <w:rFonts w:ascii="Noto Sans Thai" w:hAnsi="Noto Sans Thai" w:eastAsia="Noto Sans Thai" w:cs="Noto Sans Thai"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after="140" w:line="400" w:lineRule="exact"/>
      <w:outlineLvl w:val="9"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สคริปต์นำเสนอ LifeLab CRM</dc:title>
  <dc:subject>บทพูดและขั้นตอนสาธิตสำหรับลูกค้า ใช้เวลาประมาณ 15 นาที</dc:subject>
  <dc:creator>LifeLab CRM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