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7B020A84"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This process not only requires manual annotation of ECGs but also mandates that the individual analyzing the ECG possesses a 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(also known as symmetric loss)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 xml:space="preserve">[10; 20].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which typically involve training an image feature extractor alongside a classifier to predict image classes or labels</w:t>
      </w:r>
      <w:r w:rsidR="00BF5826">
        <w:t xml:space="preserve">, </w:t>
      </w:r>
      <w:r w:rsidRPr="00E00AE0">
        <w:t xml:space="preserve">the CLIP-based model offers a novel approach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state-of-the-art (SOTA)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36FC104A" w14:textId="3AA4C330" w:rsidR="00705E9F" w:rsidRPr="003A0181" w:rsidRDefault="003A0181" w:rsidP="00705E9F">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1B7F97BB" w14:textId="0B2C1097" w:rsidR="00705E9F" w:rsidRDefault="00B754B7" w:rsidP="00A80C5F">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705E9F" w:rsidRPr="00705E9F">
        <w:t xml:space="preserve">A systematic literature review by </w:t>
      </w:r>
      <w:proofErr w:type="spellStart"/>
      <w:r w:rsidR="00705E9F" w:rsidRPr="00705E9F">
        <w:t>Petmezas</w:t>
      </w:r>
      <w:proofErr w:type="spellEnd"/>
      <w:r w:rsidR="00705E9F" w:rsidRPr="00705E9F">
        <w:t xml:space="preserve"> et al. found that the most popular deep learning models for ECG classification include variants of convolutional neural networks (CNNs), recurrent neural networks (RNNs), </w:t>
      </w:r>
      <w:proofErr w:type="spellStart"/>
      <w:r w:rsidR="00705E9F" w:rsidRPr="00705E9F">
        <w:t>ResNet</w:t>
      </w:r>
      <w:proofErr w:type="spellEnd"/>
      <w:r w:rsidR="00705E9F" w:rsidRPr="00705E9F">
        <w:t xml:space="preserve"> models, and long short-term memory (LSTM) models</w:t>
      </w:r>
      <w:r w:rsidR="00705E9F">
        <w:t xml:space="preserve"> [33]. Among the studies analyzed in this review, </w:t>
      </w:r>
      <w:r w:rsidR="00705E9F" w:rsidRPr="00705E9F">
        <w:t>66.1% of the studies favored using CNNs for specific ECG classification tasks</w:t>
      </w:r>
      <w:r w:rsidR="00705E9F">
        <w:t xml:space="preserve"> [33]. </w:t>
      </w:r>
      <w:r w:rsidR="00C25521">
        <w:t xml:space="preserve">For instance, </w:t>
      </w:r>
      <w:r w:rsidR="00C25521" w:rsidRPr="00C25521">
        <w:t>Lu et al. achieved an accuracy of 99.31% for arrhythmia classification using a 1D-CNN</w:t>
      </w:r>
      <w:r w:rsidR="00C25521">
        <w:t xml:space="preserve"> </w:t>
      </w:r>
      <w:r w:rsidR="00C25521" w:rsidRPr="007B62D0">
        <w:t>[19; 33]</w:t>
      </w:r>
      <w:r w:rsidR="00C25521">
        <w:t xml:space="preserve">. Similarly, </w:t>
      </w:r>
      <w:r w:rsidR="00C25521" w:rsidRPr="00C25521">
        <w:t>Yu et al. reported an accuracy of 99.70% for premature ventricular contraction using a 1D-CNN</w:t>
      </w:r>
      <w:r w:rsidR="00C25521">
        <w:t xml:space="preserve"> [6; 33]</w:t>
      </w:r>
      <w:r w:rsidR="009A07BB">
        <w:t xml:space="preserve">. </w:t>
      </w:r>
      <w:r w:rsidR="00A80C5F">
        <w:t>Both</w:t>
      </w:r>
      <w:r w:rsidR="009A07BB">
        <w:t xml:space="preserve"> examples exemplify the </w:t>
      </w:r>
      <w:r w:rsidR="009A07BB" w:rsidRPr="009A07BB">
        <w:t>robustness of CNNs for various ECG classification tasks</w:t>
      </w:r>
      <w:r w:rsidR="009A07BB">
        <w:t xml:space="preserve"> and many other studies analyzed in this review also demonstrated that CNNs were effective for other classes such as myocardial infarction, coronary artery disease, and congestive heart failure [33]. </w:t>
      </w:r>
    </w:p>
    <w:p w14:paraId="4896C00D" w14:textId="4117A77B" w:rsidR="00BD51DC" w:rsidRDefault="00BD51DC" w:rsidP="00BD51DC">
      <w:pPr>
        <w:pStyle w:val="Heading2"/>
      </w:pPr>
      <w:r>
        <w:t>Related Works – CLIP-based models in medical imaging</w:t>
      </w:r>
    </w:p>
    <w:p w14:paraId="2BD25D8B" w14:textId="0341F8F7" w:rsidR="00DF49B0" w:rsidRDefault="00DF49B0" w:rsidP="00B247B9">
      <w:pPr>
        <w:ind w:firstLine="567"/>
      </w:pPr>
      <w:r w:rsidRPr="00DF49B0">
        <w:t>CLIP-based models have proven effective across a wide range of datasets, including Food-101, CIFAR-100, ImageNet, and MNIST</w:t>
      </w:r>
      <w:r>
        <w:t xml:space="preserve"> [20]. However, </w:t>
      </w:r>
      <w:r w:rsidRPr="00DF49B0">
        <w:t>their utilization in medical imaging for image classification or diagnostic tasks remains an area of research that has not been extensively explored</w:t>
      </w:r>
      <w:r>
        <w:t xml:space="preserve"> [9]. </w:t>
      </w:r>
      <w:r w:rsidR="00BA6503" w:rsidRPr="00BA6503">
        <w:t>In their systematic literature review on the topic of CLIP-based models for medical imaging, Zhao et al. found that since 2021, there have been approximately 38 studies that have utilized the CLIP-based model framework for medical imaging tasks</w:t>
      </w:r>
      <w:r w:rsidR="00BA6503">
        <w:t xml:space="preserve"> [9]. </w:t>
      </w:r>
      <w:r w:rsidR="000123EF">
        <w:t>Of the 38 studies presented in this review, n</w:t>
      </w:r>
      <w:r w:rsidR="000123EF" w:rsidRPr="000123EF">
        <w:t xml:space="preserve">otable examples include seven </w:t>
      </w:r>
      <w:r w:rsidR="00AF355B">
        <w:t>implementations</w:t>
      </w:r>
      <w:r w:rsidR="000123EF">
        <w:t xml:space="preserve"> </w:t>
      </w:r>
      <w:r w:rsidR="000123EF" w:rsidRPr="000123EF">
        <w:t>focusing on chest X-ray classification, one on stomach histology, one on lung CT scans, one on skin/dermatology conditions, one on brain MRIs, and one on eye classification tasks</w:t>
      </w:r>
      <w:r w:rsidR="000123EF">
        <w:t xml:space="preserve"> [9]. </w:t>
      </w:r>
      <w:r w:rsidR="00AF355B" w:rsidRPr="00AF355B">
        <w:t>This emerging field shows promise, but further research is needed to fully understand and leverage the potential of CLIP-based models in medical imaging</w:t>
      </w:r>
      <w:r w:rsidR="00AF355B">
        <w:t>, in particular, for ECG classification</w:t>
      </w:r>
      <w:r w:rsidR="00AF355B" w:rsidRPr="00AF355B">
        <w:t>.</w:t>
      </w:r>
    </w:p>
    <w:p w14:paraId="18DC4747" w14:textId="335402A6" w:rsidR="00A64ABB" w:rsidRDefault="00A64ABB" w:rsidP="00B247B9">
      <w:pPr>
        <w:ind w:firstLine="567"/>
      </w:pPr>
      <w:r w:rsidRPr="00A64ABB">
        <w:t>In Zhao et al.’s systematic review, only one study utilized the CLIP-based framework for ECG classification tasks, using ECG signals as the primary input</w:t>
      </w:r>
      <w:r>
        <w:t xml:space="preserve"> [9; 15]. </w:t>
      </w:r>
      <w:r w:rsidRPr="00A64ABB">
        <w:t>In their paper, “ETP: Learning Transferable ECG Representations via ECG-Text Pre-Training,” Liu et al. describe training a CLIP-based model from scratch using the PTB-XL and CPSC2018 datasets</w:t>
      </w:r>
      <w:r>
        <w:t xml:space="preserve"> [3; 15; 30]. In this study, authors employed </w:t>
      </w:r>
      <w:r w:rsidRPr="00A64ABB">
        <w:t xml:space="preserve">12-lead ECG reports and their corresponding signals to train a model where a 1D-ResNet18 served as the image encoder and </w:t>
      </w:r>
      <w:proofErr w:type="spellStart"/>
      <w:r w:rsidRPr="00A64ABB">
        <w:t>BioClinicalBERT</w:t>
      </w:r>
      <w:proofErr w:type="spellEnd"/>
      <w:r w:rsidRPr="00A64ABB">
        <w:t xml:space="preserve"> was used as the text encoder</w:t>
      </w:r>
      <w:r>
        <w:t xml:space="preserve"> [15; 31]. </w:t>
      </w:r>
      <w:r w:rsidRPr="00A64ABB">
        <w:t xml:space="preserve">During training, the 1D-ResNet18 model’s weights were updated, while the </w:t>
      </w:r>
      <w:proofErr w:type="spellStart"/>
      <w:r w:rsidRPr="00A64ABB">
        <w:t>BioClinicalBERT’s</w:t>
      </w:r>
      <w:proofErr w:type="spellEnd"/>
      <w:r w:rsidRPr="00A64ABB">
        <w:t xml:space="preserve"> weights remained frozen</w:t>
      </w:r>
      <w:r>
        <w:t xml:space="preserve"> [15]. </w:t>
      </w:r>
      <w:r w:rsidRPr="00A64ABB">
        <w:t xml:space="preserve">The aim </w:t>
      </w:r>
      <w:r>
        <w:t xml:space="preserve">here </w:t>
      </w:r>
      <w:r w:rsidRPr="00A64ABB">
        <w:t>was to demonstrate the viability of zero-shot ECG classification tasks</w:t>
      </w:r>
      <w:r>
        <w:t xml:space="preserve"> [15].</w:t>
      </w:r>
    </w:p>
    <w:p w14:paraId="2420647A" w14:textId="33F35E92" w:rsidR="00B247B9" w:rsidRDefault="00B247B9" w:rsidP="00CC6FB0">
      <w:pPr>
        <w:ind w:firstLine="567"/>
      </w:pPr>
      <w:r w:rsidRPr="00B247B9">
        <w:t>Liu et al.'s experiments achieved state-of-the-art (SOTA) results for ECG classification on the PTB-XL and CPSC2018 datasets during both supervised learning and zero-shot classification</w:t>
      </w:r>
      <w:r>
        <w:t xml:space="preserve"> [15]. </w:t>
      </w:r>
      <w:r w:rsidRPr="00B247B9">
        <w:t>In the PTB-XL zero-shot classification experiment, their ETP model achieved higher AUC, ACC, and F1 scores across four distinct classes of ECGs</w:t>
      </w:r>
      <w:r>
        <w:t xml:space="preserve"> [15]. </w:t>
      </w:r>
      <w:r w:rsidRPr="00B247B9">
        <w:t xml:space="preserve">Similarly, the ETP approach yielded significant results on the CPSC2018 dataset, achieving higher AUC, ACC, and F1 scores across nine distinct </w:t>
      </w:r>
      <w:r w:rsidRPr="00B247B9">
        <w:lastRenderedPageBreak/>
        <w:t>classes of ECGs</w:t>
      </w:r>
      <w:r>
        <w:t xml:space="preserve"> [15]. Overall, both experiments and their corresponding findings </w:t>
      </w:r>
      <w:r w:rsidRPr="00B247B9">
        <w:t>demonstrated the robustness of the CLIP-based framework for ECG classification in both supervised and zero-shot learning scenarios</w:t>
      </w:r>
      <w:r>
        <w:t xml:space="preserve"> [15]. </w:t>
      </w:r>
      <w:r w:rsidR="00FD1303" w:rsidRPr="00FD1303">
        <w:t xml:space="preserve">This study is significant as it was the first to demonstrate the feasibility of using the CLIP framework for zero-shot classification of ECGs. Building on Liu et al.'s work, our study aims to extend this approach across a greater number </w:t>
      </w:r>
      <w:r w:rsidR="00FD1303">
        <w:t xml:space="preserve">and by extension combinations </w:t>
      </w:r>
      <w:r w:rsidR="00FD1303" w:rsidRPr="00FD1303">
        <w:t>of ECG diagnostic classes.</w:t>
      </w:r>
    </w:p>
    <w:p w14:paraId="09066D1B" w14:textId="165B07AA" w:rsidR="00B861F1" w:rsidRPr="00DF49B0" w:rsidRDefault="00B861F1" w:rsidP="00CC6FB0">
      <w:pPr>
        <w:ind w:firstLine="567"/>
      </w:pPr>
      <w:r>
        <w:t xml:space="preserve">Our literature search also identified another study where an implementation of the CLIP framework was presented for an ECG classification task. In </w:t>
      </w:r>
      <w:r w:rsidRPr="00B861F1">
        <w:t>Li et al.’s “Frozen Language Model Helps ECG Zero-Shot Learning”</w:t>
      </w:r>
      <w:r>
        <w:t xml:space="preserve">, the authors introduced a </w:t>
      </w:r>
      <w:r w:rsidRPr="00B861F1">
        <w:t xml:space="preserve">new technique called Multimodal ECG-text SSL </w:t>
      </w:r>
      <w:r>
        <w:t xml:space="preserve">or METS for short [16]. </w:t>
      </w:r>
      <w:r w:rsidRPr="00B861F1">
        <w:t>Like Liu et al.'s approach, Li et al. used a text encoder with frozen weights</w:t>
      </w:r>
      <w:r>
        <w:t xml:space="preserve"> where the goal of METS was to </w:t>
      </w:r>
      <w:r w:rsidRPr="00B861F1">
        <w:t>leverage automatically generated ECG clinical reports to guide the training of the ECG image encoder</w:t>
      </w:r>
      <w:r>
        <w:t xml:space="preserve"> [15; 16].</w:t>
      </w:r>
      <w:r w:rsidR="00F564C1">
        <w:t xml:space="preserve"> The METS approach demonstrated</w:t>
      </w:r>
      <w:r w:rsidR="00F564C1" w:rsidRPr="00F564C1">
        <w:t xml:space="preserve"> a 10% performance improvement without the use of annotated datasets, compared to other studies in the field</w:t>
      </w:r>
      <w:r w:rsidR="00F564C1">
        <w:t xml:space="preserve"> [16]. </w:t>
      </w:r>
      <w:r w:rsidR="005C0B23">
        <w:t xml:space="preserve">Overall, </w:t>
      </w:r>
      <w:r w:rsidR="005C0B23" w:rsidRPr="005C0B23">
        <w:t>the METS model processes an ECG signal and its corresponding clinical report/diagnosis text within a multimodal learning framework, akin to CLIP</w:t>
      </w:r>
      <w:r w:rsidR="005C0B23">
        <w:t xml:space="preserve"> [16; 20]. </w:t>
      </w:r>
      <w:r w:rsidR="005C0B23" w:rsidRPr="005C0B23">
        <w:t xml:space="preserve">Using contrastive loss, the model </w:t>
      </w:r>
      <w:r w:rsidR="00E355E6">
        <w:t>measured</w:t>
      </w:r>
      <w:r w:rsidR="005C0B23" w:rsidRPr="005C0B23">
        <w:t xml:space="preserve"> the distance between image-text pairs, enabling the ECG image encoder to learn “deep” representations of its inputs</w:t>
      </w:r>
      <w:r w:rsidR="005C0B23">
        <w:t xml:space="preserve"> [16]. </w:t>
      </w:r>
      <w:r w:rsidR="00E355E6" w:rsidRPr="00E355E6">
        <w:t>When evaluated, the METS approach achieved higher accuracy, precision, recall, and F1 scores on the PTB-XL dataset compared to other leading methods</w:t>
      </w:r>
      <w:r w:rsidR="00E355E6">
        <w:t xml:space="preserve"> [16]. </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2B8F82A8" w14:textId="51F102E2" w:rsidR="007A7383" w:rsidRDefault="007A7383" w:rsidP="00A954E5">
      <w:pPr>
        <w:pStyle w:val="Heading3"/>
      </w:pPr>
      <w:r>
        <w:t>Datasets – Experiment A</w:t>
      </w:r>
    </w:p>
    <w:p w14:paraId="4F374502" w14:textId="3A986FEF" w:rsidR="00A954E5" w:rsidRDefault="00A954E5" w:rsidP="00B909F3">
      <w:pPr>
        <w:ind w:firstLine="567"/>
      </w:pPr>
      <w:r>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w:t>
      </w:r>
      <w:r w:rsidR="000A0EE4">
        <w:lastRenderedPageBreak/>
        <w:t>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r>
        <w:t>st</w:t>
      </w:r>
      <w:proofErr w:type="spellEnd"/>
      <w:r>
        <w:t xml:space="preserve"> depression',</w:t>
      </w:r>
    </w:p>
    <w:p w14:paraId="664FF7DD" w14:textId="77777777" w:rsidR="00CE24CB" w:rsidRDefault="00CE24CB" w:rsidP="00CE24CB">
      <w:r>
        <w:t xml:space="preserve">                    'low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'sinus tachycardia',</w:t>
      </w:r>
    </w:p>
    <w:p w14:paraId="4A61F87B" w14:textId="77777777" w:rsidR="00CE24CB" w:rsidRDefault="00CE24CB" w:rsidP="00CE24CB">
      <w:r>
        <w:t xml:space="preserve">                    't wave abnormal',</w:t>
      </w:r>
    </w:p>
    <w:p w14:paraId="65E8B59E" w14:textId="2B865F07" w:rsidR="00CE24CB" w:rsidRDefault="00CE24CB" w:rsidP="00CE24CB">
      <w:r>
        <w:t xml:space="preserve">                    'right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lastRenderedPageBreak/>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lastRenderedPageBreak/>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lastRenderedPageBreak/>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58B54AB2" w:rsidR="00C20544" w:rsidRDefault="005C3137" w:rsidP="0055021A">
      <w:pPr>
        <w:pStyle w:val="Heading2"/>
      </w:pPr>
      <w:r>
        <w:t>Data pre-processing</w:t>
      </w:r>
      <w:r w:rsidR="009823E2">
        <w:t xml:space="preserve"> </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r w:rsidRPr="00953D8D">
              <w:t>torch.optim.Adam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lastRenderedPageBreak/>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lastRenderedPageBreak/>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lastRenderedPageBreak/>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10 . 6084 / m9 . </w:t>
      </w:r>
      <w:proofErr w:type="spellStart"/>
      <w:r w:rsidRPr="000D6C1C">
        <w:t>figshare</w:t>
      </w:r>
      <w:proofErr w:type="spellEnd"/>
      <w:r w:rsidRPr="000D6C1C">
        <w:t xml:space="preserve"> . 17912444 .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lastRenderedPageBreak/>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w:t>
      </w:r>
      <w:proofErr w:type="spellStart"/>
      <w:r w:rsidRPr="000D6C1C">
        <w:t>Mapping_from_Chinese_ECG_statements_to_AHA_codes</w:t>
      </w:r>
      <w:proofErr w:type="spellEnd"/>
      <w:r w:rsidRPr="000D6C1C">
        <w:t xml:space="preserve">/19738468 ;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25. Mensah A.G. Roth A.G. F. V. The Global Burden of Cardiovascular Diseases and Risk Factors: 2020 and Beyond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lastRenderedPageBreak/>
        <w:t xml:space="preserve">38. Zero-Shot Classification. — 2023. — URL: https : / / </w:t>
      </w:r>
      <w:proofErr w:type="spellStart"/>
      <w:r w:rsidRPr="000D6C1C">
        <w:t>huggingface</w:t>
      </w:r>
      <w:proofErr w:type="spellEnd"/>
      <w:r w:rsidRPr="000D6C1C">
        <w:t xml:space="preserve"> . co / tasks / zero - shot - classification</w:t>
      </w:r>
    </w:p>
    <w:p w14:paraId="03008072" w14:textId="77777777" w:rsidR="00A02672" w:rsidRDefault="00A02672" w:rsidP="00A02672">
      <w:pPr>
        <w:pStyle w:val="c-bibliographic-informationcitation"/>
        <w:shd w:val="clear" w:color="auto" w:fill="FFFFFF"/>
        <w:spacing w:before="0" w:beforeAutospacing="0" w:after="240" w:afterAutospacing="0"/>
        <w:rPr>
          <w:rFonts w:ascii="Merriweather Sans" w:hAnsi="Merriweather Sans"/>
          <w:color w:val="222222"/>
        </w:rPr>
      </w:pPr>
      <w:r>
        <w:t xml:space="preserve">39. </w:t>
      </w:r>
      <w:r>
        <w:rPr>
          <w:rFonts w:ascii="Merriweather Sans" w:hAnsi="Merriweather Sans"/>
          <w:color w:val="222222"/>
        </w:rPr>
        <w:t>Romera-Paredes, B., Torr, P.H.S. (2017). An Embarrassingly Simple Approach to Zero-Shot Learning. In: Feris, R., Lampert, C., Parikh, D. (eds) Visual Attributes. Advances in Computer Vision and Pattern Recognition. Springer, Cham. https://doi.org/10.1007/978-3-319-50077-5_2</w:t>
      </w:r>
    </w:p>
    <w:p w14:paraId="6328885C" w14:textId="62A56F0F" w:rsidR="002A665B" w:rsidRDefault="00C34311" w:rsidP="002A665B">
      <w:r>
        <w:t xml:space="preserve">40. </w:t>
      </w:r>
      <w:r>
        <w:rPr>
          <w:rFonts w:ascii="Arial" w:hAnsi="Arial" w:cs="Arial"/>
          <w:color w:val="222222"/>
          <w:sz w:val="20"/>
          <w:szCs w:val="20"/>
          <w:shd w:val="clear" w:color="auto" w:fill="FFFFFF"/>
        </w:rPr>
        <w:t xml:space="preserve">Xian, </w:t>
      </w:r>
      <w:proofErr w:type="spellStart"/>
      <w:r>
        <w:rPr>
          <w:rFonts w:ascii="Arial" w:hAnsi="Arial" w:cs="Arial"/>
          <w:color w:val="222222"/>
          <w:sz w:val="20"/>
          <w:szCs w:val="20"/>
          <w:shd w:val="clear" w:color="auto" w:fill="FFFFFF"/>
        </w:rPr>
        <w:t>Yongqin</w:t>
      </w:r>
      <w:proofErr w:type="spellEnd"/>
      <w:r>
        <w:rPr>
          <w:rFonts w:ascii="Arial" w:hAnsi="Arial" w:cs="Arial"/>
          <w:color w:val="222222"/>
          <w:sz w:val="20"/>
          <w:szCs w:val="20"/>
          <w:shd w:val="clear" w:color="auto" w:fill="FFFFFF"/>
        </w:rPr>
        <w:t>, et al. "Zero-shot learning—a comprehensive evaluation of the good, the bad and the ugly."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41.9 (2018): 2251-2265.</w:t>
      </w:r>
    </w:p>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0DF32" w14:textId="77777777" w:rsidR="00E62296" w:rsidRDefault="00E62296" w:rsidP="00117666">
      <w:pPr>
        <w:spacing w:after="0"/>
      </w:pPr>
      <w:r>
        <w:separator/>
      </w:r>
    </w:p>
  </w:endnote>
  <w:endnote w:type="continuationSeparator" w:id="0">
    <w:p w14:paraId="4BBC19B9" w14:textId="77777777" w:rsidR="00E62296" w:rsidRDefault="00E6229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Sans">
    <w:charset w:val="00"/>
    <w:family w:val="auto"/>
    <w:pitch w:val="variable"/>
    <w:sig w:usb0="A00004F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11399" w14:textId="77777777" w:rsidR="00E62296" w:rsidRDefault="00E62296" w:rsidP="00117666">
      <w:pPr>
        <w:spacing w:after="0"/>
      </w:pPr>
      <w:r>
        <w:separator/>
      </w:r>
    </w:p>
  </w:footnote>
  <w:footnote w:type="continuationSeparator" w:id="0">
    <w:p w14:paraId="5CECB866" w14:textId="77777777" w:rsidR="00E62296" w:rsidRDefault="00E6229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23EF"/>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1CA4"/>
    <w:rsid w:val="001964EF"/>
    <w:rsid w:val="001A1B1C"/>
    <w:rsid w:val="001A512A"/>
    <w:rsid w:val="001B12B9"/>
    <w:rsid w:val="001B1A2C"/>
    <w:rsid w:val="001B243A"/>
    <w:rsid w:val="001C28B5"/>
    <w:rsid w:val="001D5C23"/>
    <w:rsid w:val="001E4F08"/>
    <w:rsid w:val="001F1678"/>
    <w:rsid w:val="001F4C07"/>
    <w:rsid w:val="0020209C"/>
    <w:rsid w:val="00206322"/>
    <w:rsid w:val="00217BA1"/>
    <w:rsid w:val="00220AEA"/>
    <w:rsid w:val="00226954"/>
    <w:rsid w:val="0022722E"/>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28BD"/>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D2F2D"/>
    <w:rsid w:val="003E3475"/>
    <w:rsid w:val="003F47A4"/>
    <w:rsid w:val="00401590"/>
    <w:rsid w:val="00445BFD"/>
    <w:rsid w:val="00446E4C"/>
    <w:rsid w:val="004538A1"/>
    <w:rsid w:val="00463E3D"/>
    <w:rsid w:val="004645AE"/>
    <w:rsid w:val="0047387D"/>
    <w:rsid w:val="00490746"/>
    <w:rsid w:val="004A4BC9"/>
    <w:rsid w:val="004A725E"/>
    <w:rsid w:val="004D3E33"/>
    <w:rsid w:val="004E6252"/>
    <w:rsid w:val="004E7370"/>
    <w:rsid w:val="00502F92"/>
    <w:rsid w:val="00510770"/>
    <w:rsid w:val="0052252B"/>
    <w:rsid w:val="005250F2"/>
    <w:rsid w:val="0053776B"/>
    <w:rsid w:val="005501AA"/>
    <w:rsid w:val="0055021A"/>
    <w:rsid w:val="005571A1"/>
    <w:rsid w:val="00560194"/>
    <w:rsid w:val="005801E0"/>
    <w:rsid w:val="00582460"/>
    <w:rsid w:val="005A1D84"/>
    <w:rsid w:val="005A2F2C"/>
    <w:rsid w:val="005A486C"/>
    <w:rsid w:val="005A70EA"/>
    <w:rsid w:val="005C05B2"/>
    <w:rsid w:val="005C0B23"/>
    <w:rsid w:val="005C3137"/>
    <w:rsid w:val="005C3963"/>
    <w:rsid w:val="005C5C5A"/>
    <w:rsid w:val="005C7858"/>
    <w:rsid w:val="005D0171"/>
    <w:rsid w:val="005D0B10"/>
    <w:rsid w:val="005D0CF2"/>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374E1"/>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5E9F"/>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823E2"/>
    <w:rsid w:val="00993F39"/>
    <w:rsid w:val="009955FF"/>
    <w:rsid w:val="009A07BB"/>
    <w:rsid w:val="009B76A2"/>
    <w:rsid w:val="009D259D"/>
    <w:rsid w:val="009D296E"/>
    <w:rsid w:val="009D4DDF"/>
    <w:rsid w:val="009E599E"/>
    <w:rsid w:val="009F3BE6"/>
    <w:rsid w:val="00A00487"/>
    <w:rsid w:val="00A02672"/>
    <w:rsid w:val="00A07E5F"/>
    <w:rsid w:val="00A14161"/>
    <w:rsid w:val="00A206E5"/>
    <w:rsid w:val="00A221C4"/>
    <w:rsid w:val="00A3226B"/>
    <w:rsid w:val="00A353B4"/>
    <w:rsid w:val="00A36333"/>
    <w:rsid w:val="00A50D9D"/>
    <w:rsid w:val="00A52830"/>
    <w:rsid w:val="00A53000"/>
    <w:rsid w:val="00A545C6"/>
    <w:rsid w:val="00A64ABB"/>
    <w:rsid w:val="00A657A6"/>
    <w:rsid w:val="00A75F87"/>
    <w:rsid w:val="00A80C5F"/>
    <w:rsid w:val="00A954E5"/>
    <w:rsid w:val="00A95D8B"/>
    <w:rsid w:val="00AB1C94"/>
    <w:rsid w:val="00AB54D7"/>
    <w:rsid w:val="00AB6964"/>
    <w:rsid w:val="00AC0270"/>
    <w:rsid w:val="00AC3EA3"/>
    <w:rsid w:val="00AC792D"/>
    <w:rsid w:val="00AE5486"/>
    <w:rsid w:val="00AE7FFD"/>
    <w:rsid w:val="00AF355B"/>
    <w:rsid w:val="00B247B9"/>
    <w:rsid w:val="00B2718A"/>
    <w:rsid w:val="00B33586"/>
    <w:rsid w:val="00B4748C"/>
    <w:rsid w:val="00B514D4"/>
    <w:rsid w:val="00B657B8"/>
    <w:rsid w:val="00B676F1"/>
    <w:rsid w:val="00B754B7"/>
    <w:rsid w:val="00B84920"/>
    <w:rsid w:val="00B8556A"/>
    <w:rsid w:val="00B861F1"/>
    <w:rsid w:val="00B909F3"/>
    <w:rsid w:val="00BA507C"/>
    <w:rsid w:val="00BA6503"/>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25521"/>
    <w:rsid w:val="00C30EB1"/>
    <w:rsid w:val="00C32362"/>
    <w:rsid w:val="00C32D10"/>
    <w:rsid w:val="00C336D3"/>
    <w:rsid w:val="00C34311"/>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6FB0"/>
    <w:rsid w:val="00CC76F9"/>
    <w:rsid w:val="00CD02FF"/>
    <w:rsid w:val="00CD066B"/>
    <w:rsid w:val="00CD3ECE"/>
    <w:rsid w:val="00CD46E2"/>
    <w:rsid w:val="00CE24CB"/>
    <w:rsid w:val="00CF3EFC"/>
    <w:rsid w:val="00D00D0B"/>
    <w:rsid w:val="00D04B0B"/>
    <w:rsid w:val="00D04B69"/>
    <w:rsid w:val="00D17539"/>
    <w:rsid w:val="00D17FBC"/>
    <w:rsid w:val="00D344CB"/>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DF49B0"/>
    <w:rsid w:val="00DF6802"/>
    <w:rsid w:val="00E00AE0"/>
    <w:rsid w:val="00E0128B"/>
    <w:rsid w:val="00E11C78"/>
    <w:rsid w:val="00E30F69"/>
    <w:rsid w:val="00E355E6"/>
    <w:rsid w:val="00E46A06"/>
    <w:rsid w:val="00E46C71"/>
    <w:rsid w:val="00E47573"/>
    <w:rsid w:val="00E50E3A"/>
    <w:rsid w:val="00E62296"/>
    <w:rsid w:val="00E64E17"/>
    <w:rsid w:val="00E77A4B"/>
    <w:rsid w:val="00E852EA"/>
    <w:rsid w:val="00E964A1"/>
    <w:rsid w:val="00EA2CD3"/>
    <w:rsid w:val="00EA3D3C"/>
    <w:rsid w:val="00EB1F0D"/>
    <w:rsid w:val="00EB5087"/>
    <w:rsid w:val="00EC7CC3"/>
    <w:rsid w:val="00ED7FA4"/>
    <w:rsid w:val="00EF60AA"/>
    <w:rsid w:val="00EF6F35"/>
    <w:rsid w:val="00F24DC7"/>
    <w:rsid w:val="00F254A4"/>
    <w:rsid w:val="00F34097"/>
    <w:rsid w:val="00F36742"/>
    <w:rsid w:val="00F46494"/>
    <w:rsid w:val="00F558AB"/>
    <w:rsid w:val="00F564C1"/>
    <w:rsid w:val="00F61D89"/>
    <w:rsid w:val="00F70758"/>
    <w:rsid w:val="00F7273E"/>
    <w:rsid w:val="00F74F45"/>
    <w:rsid w:val="00F80071"/>
    <w:rsid w:val="00F86ABB"/>
    <w:rsid w:val="00F9468D"/>
    <w:rsid w:val="00F97039"/>
    <w:rsid w:val="00F97666"/>
    <w:rsid w:val="00FB0E26"/>
    <w:rsid w:val="00FD1303"/>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 w:type="paragraph" w:customStyle="1" w:styleId="c-bibliographic-informationcitation">
    <w:name w:val="c-bibliographic-information__citation"/>
    <w:basedOn w:val="Normal"/>
    <w:rsid w:val="00A02672"/>
    <w:pPr>
      <w:spacing w:before="100" w:beforeAutospacing="1" w:after="100" w:afterAutospacing="1"/>
    </w:pPr>
    <w:rPr>
      <w:rFonts w:eastAsia="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23176543">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698</TotalTime>
  <Pages>13</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243</cp:revision>
  <cp:lastPrinted>2013-10-03T12:51:00Z</cp:lastPrinted>
  <dcterms:created xsi:type="dcterms:W3CDTF">2022-11-17T16:52:00Z</dcterms:created>
  <dcterms:modified xsi:type="dcterms:W3CDTF">2024-06-06T22:01:00Z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