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 xml:space="preserve">Another study that demonstrates the efficacy and value of </w:t>
      </w:r>
      <w:r>
        <w:t>multimodal or joint training of image and text encoders</w:t>
      </w:r>
      <w:r>
        <w:t xml:space="preserve"> was seen in </w:t>
      </w:r>
      <w:r>
        <w:t>Li et al</w:t>
      </w:r>
      <w:r>
        <w:t>.</w:t>
      </w:r>
      <w:r>
        <w:t>’s, "Frozen Language Model Helps ECG Zero-Shot Learning" [16]</w:t>
      </w:r>
      <w:r>
        <w:t>. In this study, the authors introduced a new</w:t>
      </w:r>
      <w:r>
        <w:t xml:space="preserve"> technique called Multimodal ECG-text SSL or METS for short</w:t>
      </w:r>
      <w:r>
        <w:t xml:space="preserve"> [16]. Like </w:t>
      </w:r>
      <w:r>
        <w:t>Liu et al.’s study</w:t>
      </w:r>
      <w:r>
        <w:t xml:space="preserve">, </w:t>
      </w:r>
      <w:r>
        <w:t>Li et al.</w:t>
      </w:r>
      <w:r>
        <w:t xml:space="preserve"> in their study also use a text encoder with frozen weights where the goal of METS </w:t>
      </w:r>
      <w:r>
        <w:t xml:space="preserve">is to use automatically generated </w:t>
      </w:r>
      <w:r>
        <w:t xml:space="preserve">ECG </w:t>
      </w:r>
      <w:r>
        <w:t>clinical reports to guide the training of the ECG image encoder</w:t>
      </w:r>
      <w:r>
        <w:t xml:space="preserve"> [15; 16]. The METS approach</w:t>
      </w:r>
      <w:r>
        <w:t xml:space="preserve"> achieved an improvement of 10% in performance without the use of annotated datasets relative to comparable studies in this </w:t>
      </w:r>
      <w:r>
        <w:t>field</w:t>
      </w:r>
      <w:r>
        <w:t xml:space="preserve"> [16].</w:t>
      </w:r>
    </w:p>
    <w:p w14:paraId="3F5C3558" w14:textId="1BAE4022" w:rsidR="00BD51DC" w:rsidRDefault="00F9468D" w:rsidP="00BD51DC">
      <w:r>
        <w:t xml:space="preserve"> </w:t>
      </w:r>
      <w:r>
        <w:tab/>
      </w:r>
      <w:r>
        <w:t xml:space="preserve">In summary, the METS model takes an ECG signal and its corresponding ECG report/diagnosis text as inputs and feeds them into a multimodal learning framework, </w:t>
      </w:r>
      <w:r>
        <w:t>like</w:t>
      </w:r>
      <w:r>
        <w:t xml:space="preserv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 xml:space="preserve">According to Hugging Face, zero-shot classification is a natural language processing (NLP) task where a model is trained on a specific set of labeled image-text pair data but </w:t>
      </w:r>
      <w:r>
        <w:t>can</w:t>
      </w:r>
      <w:r>
        <w:t xml:space="preserve"> </w:t>
      </w:r>
      <w:r>
        <w:t>generalize</w:t>
      </w:r>
      <w:r>
        <w:t xml:space="preserv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w:t>
      </w:r>
      <w:r>
        <w:t xml:space="preserve">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 xml:space="preserve">The </w:t>
      </w:r>
      <w:r w:rsidR="00E77A4B">
        <w:t>PTB-XL dataset</w:t>
      </w:r>
      <w:r w:rsidR="00E77A4B">
        <w:t xml:space="preserve">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w:t>
      </w:r>
      <w:r>
        <w:t xml:space="preserve"> – Experiment B</w:t>
      </w:r>
    </w:p>
    <w:p w14:paraId="61306453" w14:textId="77777777" w:rsidR="007A7383" w:rsidRPr="00A954E5" w:rsidRDefault="007A7383" w:rsidP="00A954E5"/>
    <w:p w14:paraId="3846371F" w14:textId="1552443A" w:rsidR="00C20544" w:rsidRDefault="00C20544" w:rsidP="00C20544">
      <w:pPr>
        <w:pStyle w:val="Heading2"/>
        <w:numPr>
          <w:ilvl w:val="1"/>
          <w:numId w:val="0"/>
        </w:numPr>
      </w:pPr>
      <w:r>
        <w:t>3.2 Experiment B</w:t>
      </w:r>
    </w:p>
    <w:p w14:paraId="29EB4592" w14:textId="77777777" w:rsidR="002A665B" w:rsidRDefault="002A665B" w:rsidP="002A665B"/>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lastRenderedPageBreak/>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lastRenderedPageBreak/>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lastRenderedPageBreak/>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7333A" w14:textId="77777777" w:rsidR="000C51A6" w:rsidRDefault="000C51A6" w:rsidP="00117666">
      <w:pPr>
        <w:spacing w:after="0"/>
      </w:pPr>
      <w:r>
        <w:separator/>
      </w:r>
    </w:p>
  </w:endnote>
  <w:endnote w:type="continuationSeparator" w:id="0">
    <w:p w14:paraId="05D0A6FE" w14:textId="77777777" w:rsidR="000C51A6" w:rsidRDefault="000C51A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84589" w14:textId="77777777" w:rsidR="000C51A6" w:rsidRDefault="000C51A6" w:rsidP="00117666">
      <w:pPr>
        <w:spacing w:after="0"/>
      </w:pPr>
      <w:r>
        <w:separator/>
      </w:r>
    </w:p>
  </w:footnote>
  <w:footnote w:type="continuationSeparator" w:id="0">
    <w:p w14:paraId="5E863170" w14:textId="77777777" w:rsidR="000C51A6" w:rsidRDefault="000C51A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81A"/>
    <w:rsid w:val="00035434"/>
    <w:rsid w:val="00045678"/>
    <w:rsid w:val="000458E4"/>
    <w:rsid w:val="00063D84"/>
    <w:rsid w:val="0006636D"/>
    <w:rsid w:val="00074944"/>
    <w:rsid w:val="00075B05"/>
    <w:rsid w:val="00077D53"/>
    <w:rsid w:val="00081394"/>
    <w:rsid w:val="000A0EE4"/>
    <w:rsid w:val="000A594B"/>
    <w:rsid w:val="000B34BD"/>
    <w:rsid w:val="000C0FF8"/>
    <w:rsid w:val="000C51A6"/>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7387D"/>
    <w:rsid w:val="004A725E"/>
    <w:rsid w:val="004D3E33"/>
    <w:rsid w:val="00502F92"/>
    <w:rsid w:val="00510770"/>
    <w:rsid w:val="0052252B"/>
    <w:rsid w:val="005250F2"/>
    <w:rsid w:val="00582460"/>
    <w:rsid w:val="005A1D84"/>
    <w:rsid w:val="005A70EA"/>
    <w:rsid w:val="005C3963"/>
    <w:rsid w:val="005C5C5A"/>
    <w:rsid w:val="005C7858"/>
    <w:rsid w:val="005D0171"/>
    <w:rsid w:val="005D1840"/>
    <w:rsid w:val="005D35E4"/>
    <w:rsid w:val="005D7910"/>
    <w:rsid w:val="006019F4"/>
    <w:rsid w:val="0061247F"/>
    <w:rsid w:val="00614C68"/>
    <w:rsid w:val="006151BB"/>
    <w:rsid w:val="0062154F"/>
    <w:rsid w:val="00626026"/>
    <w:rsid w:val="00631A8C"/>
    <w:rsid w:val="00647503"/>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D5B93"/>
    <w:rsid w:val="006E18DE"/>
    <w:rsid w:val="006E54C5"/>
    <w:rsid w:val="00712F48"/>
    <w:rsid w:val="00717F5A"/>
    <w:rsid w:val="00725A7D"/>
    <w:rsid w:val="00727093"/>
    <w:rsid w:val="0073085C"/>
    <w:rsid w:val="00746505"/>
    <w:rsid w:val="00751F72"/>
    <w:rsid w:val="00752FD1"/>
    <w:rsid w:val="00790BB3"/>
    <w:rsid w:val="00792043"/>
    <w:rsid w:val="007975B5"/>
    <w:rsid w:val="00797EDD"/>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6A87"/>
    <w:rsid w:val="008629A9"/>
    <w:rsid w:val="00867FDA"/>
    <w:rsid w:val="008742C8"/>
    <w:rsid w:val="008768DB"/>
    <w:rsid w:val="0088513A"/>
    <w:rsid w:val="00893C19"/>
    <w:rsid w:val="00894ED6"/>
    <w:rsid w:val="00895308"/>
    <w:rsid w:val="008A0240"/>
    <w:rsid w:val="008D6C8D"/>
    <w:rsid w:val="008E2B54"/>
    <w:rsid w:val="008E4404"/>
    <w:rsid w:val="008E58C7"/>
    <w:rsid w:val="008F228E"/>
    <w:rsid w:val="008F5021"/>
    <w:rsid w:val="00943573"/>
    <w:rsid w:val="00963713"/>
    <w:rsid w:val="00971B61"/>
    <w:rsid w:val="009739C7"/>
    <w:rsid w:val="00980C31"/>
    <w:rsid w:val="00993F39"/>
    <w:rsid w:val="009955FF"/>
    <w:rsid w:val="009D259D"/>
    <w:rsid w:val="009F3BE6"/>
    <w:rsid w:val="00A00487"/>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D6225"/>
    <w:rsid w:val="00DD73EF"/>
    <w:rsid w:val="00DE23E8"/>
    <w:rsid w:val="00DF187F"/>
    <w:rsid w:val="00E0128B"/>
    <w:rsid w:val="00E11C78"/>
    <w:rsid w:val="00E50E3A"/>
    <w:rsid w:val="00E64E17"/>
    <w:rsid w:val="00E77A4B"/>
    <w:rsid w:val="00E852EA"/>
    <w:rsid w:val="00E964A1"/>
    <w:rsid w:val="00EA3D3C"/>
    <w:rsid w:val="00EB5087"/>
    <w:rsid w:val="00EC7CC3"/>
    <w:rsid w:val="00EF60AA"/>
    <w:rsid w:val="00F254A4"/>
    <w:rsid w:val="00F46494"/>
    <w:rsid w:val="00F558AB"/>
    <w:rsid w:val="00F61D89"/>
    <w:rsid w:val="00F70758"/>
    <w:rsid w:val="00F74F45"/>
    <w:rsid w:val="00F80071"/>
    <w:rsid w:val="00F86ABB"/>
    <w:rsid w:val="00F9468D"/>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263</TotalTime>
  <Pages>8</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99</cp:revision>
  <cp:lastPrinted>2013-10-03T12:51:00Z</cp:lastPrinted>
  <dcterms:created xsi:type="dcterms:W3CDTF">2022-11-17T16:52:00Z</dcterms:created>
  <dcterms:modified xsi:type="dcterms:W3CDTF">2024-05-22T18:04:00Z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