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00"/>
        <w:jc w:val="center"/>
      </w:pPr>
      <w:r>
        <w:drawing>
          <wp:inline distT="0" distB="0" distL="0" distR="0">
            <wp:extent cx="342900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40"/>
        <w:jc w:val="center"/>
      </w:pPr>
      <w:r>
        <w:rPr>
          <w:b/>
          <w:bCs/>
          <w:color w:val="231A0F"/>
          <w:sz w:val="40"/>
          <w:szCs w:val="40"/>
        </w:rPr>
        <w:t xml:space="preserve">Brand &amp; Logo Specification</w:t>
      </w:r>
    </w:p>
    <w:p>
      <w:pPr>
        <w:spacing w:after="30"/>
        <w:jc w:val="center"/>
      </w:pPr>
      <w:r>
        <w:rPr>
          <w:color w:val="5F5E5A"/>
          <w:sz w:val="24"/>
          <w:szCs w:val="24"/>
        </w:rPr>
        <w:t xml:space="preserve">The triad mark, usage rules, palette, and assets</w:t>
      </w:r>
    </w:p>
    <w:p>
      <w:pPr>
        <w:spacing w:before="200"/>
        <w:jc w:val="center"/>
      </w:pPr>
      <w:r>
        <w:rPr>
          <w:color w:val="5F5E5A"/>
          <w:spacing w:val="30"/>
          <w:sz w:val="19"/>
          <w:szCs w:val="19"/>
        </w:rPr>
        <w:t xml:space="preserve">Version 1.0</w:t>
      </w:r>
    </w:p>
    <w:p>
      <w:pPr>
        <w:jc w:val="center"/>
      </w:pPr>
      <w:r>
        <w:rPr>
          <w:color w:val="F0980F"/>
          <w:sz w:val="19"/>
          <w:szCs w:val="19"/>
        </w:rPr>
        <w:t xml:space="preserve">Verified homes in Abuja</w:t>
      </w:r>
    </w:p>
    <w:p>
      <w:r>
        <w:br w:type="page"/>
      </w:r>
    </w:p>
    <w:p>
      <w:pPr>
        <w:pStyle w:val="Heading1"/>
      </w:pPr>
      <w:r>
        <w:t xml:space="preserve">The mark</w:t>
      </w:r>
    </w:p>
    <w:p>
      <w:pPr>
        <w:spacing w:after="60" w:before="40"/>
      </w:pPr>
      <w:r>
        <w:rPr>
          <w:b/>
          <w:bCs/>
          <w:color w:val="F0980F"/>
          <w:spacing w:val="40"/>
          <w:sz w:val="16"/>
          <w:szCs w:val="16"/>
        </w:rPr>
        <w:t xml:space="preserve">WHAT IT IS</w:t>
      </w:r>
    </w:p>
    <w:p>
      <w:pPr>
        <w:spacing w:after="160" w:line="288"/>
      </w:pPr>
      <w:r>
        <w:t xml:space="preserve">The Beebop logo is </w:t>
      </w:r>
      <w:r>
        <w:rPr>
          <w:b/>
          <w:bCs/>
        </w:rPr>
        <w:t xml:space="preserve">the triad</w:t>
      </w:r>
      <w:r>
        <w:t xml:space="preserve">: three hollow hexagonal cells arranged in rotational symmetry — one pointing up, two splayed below — drawn in a single consistent line weight. It reads as a fragment of honeycomb, and therefore as a hive: a place where many verified homes are gathered and kept. It carries the brand's bee-and-honey idea without ever drawing a literal bee.</w:t>
      </w:r>
    </w:p>
    <w:p>
      <w:pPr>
        <w:spacing w:after="160" w:line="288"/>
      </w:pPr>
      <w:r>
        <w:t xml:space="preserve">The rotational symmetry is deliberate. It gives the mark a calm, balanced center of gravity rather than the restless feel of an offset cluster, and it lets the logo spin cleanly as a loading animation. The three cells also quietly suggest gathering and community — many cells, one comb.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F5E5A"/>
          <w:sz w:val="18"/>
          <w:szCs w:val="18"/>
        </w:rPr>
        <w:t xml:space="preserve">Primary horizontal lockup</w:t>
      </w:r>
    </w:p>
    <w:p>
      <w:pPr>
        <w:spacing w:after="60" w:before="40"/>
      </w:pPr>
      <w:r>
        <w:rPr>
          <w:b/>
          <w:bCs/>
          <w:color w:val="F0980F"/>
          <w:spacing w:val="40"/>
          <w:sz w:val="16"/>
          <w:szCs w:val="16"/>
        </w:rPr>
        <w:t xml:space="preserve">THE ONE RULE THAT MATTERS MOST</w:t>
      </w:r>
    </w:p>
    <w:p>
      <w:pPr>
        <w:spacing w:after="160" w:line="288"/>
      </w:pPr>
      <w:r>
        <w:rPr>
          <w:b/>
          <w:bCs/>
        </w:rPr>
        <w:t xml:space="preserve">The cells are always hollow. </w:t>
      </w:r>
      <w:r>
        <w:t xml:space="preserve">The open centers are what make the mark read as honeycomb. Never fill them with solid color — a filled triad becomes a generic badge and loses its entire meaning. The only thing that changes between sizes is the </w:t>
      </w:r>
      <w:r>
        <w:rPr>
          <w:i/>
          <w:iCs/>
        </w:rPr>
        <w:t xml:space="preserve">stroke weight</w:t>
      </w:r>
      <w:r>
        <w:t xml:space="preserve">, which steps up as the mark gets smaller so the cells stay open and legible.</w:t>
      </w:r>
    </w:p>
    <w:p>
      <w:pPr>
        <w:pBdr>
          <w:bottom w:val="single" w:color="E0DCD2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Lockups</w:t>
      </w:r>
    </w:p>
    <w:p>
      <w:pPr>
        <w:spacing w:after="160" w:line="288"/>
      </w:pPr>
      <w:r>
        <w:t xml:space="preserve">The logo comes in three arrangements. Use the one that best fits the space; never re-space or re-typeset the wordmark yourself.</w:t>
      </w:r>
    </w:p>
    <w:p>
      <w:pPr>
        <w:pStyle w:val="Heading3"/>
      </w:pPr>
      <w:r>
        <w:t xml:space="preserve">Horizontal — the default</w:t>
      </w:r>
    </w:p>
    <w:p>
      <w:pPr>
        <w:spacing w:after="160" w:line="288"/>
      </w:pPr>
      <w:r>
        <w:t xml:space="preserve">Mark plus wordmark, side by side. This is the primary lockup for website headers, email signatures, letterheads, and most horizontal spaces. The mark and wordmark are optically centered on a shared midline with a fixed gap; that relationship is locked.</w:t>
      </w:r>
    </w:p>
    <w:p>
      <w:pPr>
        <w:pStyle w:val="Heading3"/>
      </w:pPr>
      <w:r>
        <w:t xml:space="preserve">Stacked</w:t>
      </w:r>
    </w:p>
    <w:p>
      <w:pPr>
        <w:spacing w:after="160" w:line="288"/>
      </w:pPr>
      <w:r>
        <w:t xml:space="preserve">Mark above the wordmark, centered. Use in square or vertical spaces — social profile headers, posters, splash screens, merchandise.</w:t>
      </w:r>
    </w:p>
    <w:p>
      <w:pPr>
        <w:pStyle w:val="Heading3"/>
      </w:pPr>
      <w:r>
        <w:t xml:space="preserve">Mark alone</w:t>
      </w:r>
    </w:p>
    <w:p>
      <w:pPr>
        <w:spacing w:after="160" w:line="288"/>
      </w:pPr>
      <w:r>
        <w:t xml:space="preserve">The triad on its own. This is the avatar, the app icon, and the favicon. Use it anywhere the brand is already established or space is tight.</w:t>
      </w:r>
    </w:p>
    <w:p>
      <w:pPr>
        <w:pStyle w:val="Heading3"/>
      </w:pPr>
      <w:r>
        <w:t xml:space="preserve">The wordmark</w:t>
      </w:r>
    </w:p>
    <w:p>
      <w:pPr>
        <w:spacing w:after="160" w:line="288"/>
      </w:pPr>
      <w:r>
        <w:t xml:space="preserve">The wordmark is always set in lowercase — </w:t>
      </w:r>
      <w:r>
        <w:rPr>
          <w:b/>
          <w:bCs/>
        </w:rPr>
        <w:t xml:space="preserve">beebop</w:t>
      </w:r>
      <w:r>
        <w:t xml:space="preserve">, never “BeeBop” or “Beebop.” Lowercase is the friendlier, more modern register that matches the conversational, chat-first product. This settles any earlier inconsistency: one casing, everywhere. The display face is Bricolage Grotesque, SemiBold.</w:t>
      </w:r>
    </w:p>
    <w:p>
      <w:pPr>
        <w:pBdr>
          <w:bottom w:val="single" w:color="E0DCD2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Color variants</w:t>
      </w:r>
    </w:p>
    <w:p>
      <w:pPr>
        <w:spacing w:after="160" w:line="288"/>
      </w:pPr>
      <w:r>
        <w:t xml:space="preserve">Four approved renderings cover every background. Always choose the variant with the strongest contrast against its ground.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F5E5A"/>
                <w:sz w:val="18"/>
                <w:szCs w:val="18"/>
              </w:rPr>
              <w:t xml:space="preserve">Honey on light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F5E5A"/>
                <w:sz w:val="18"/>
                <w:szCs w:val="18"/>
              </w:rPr>
              <w:t xml:space="preserve">Honey on dark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F5E5A"/>
                <w:sz w:val="18"/>
                <w:szCs w:val="18"/>
              </w:rPr>
              <w:t xml:space="preserve">Knockout on honey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F5E5A"/>
                <w:sz w:val="18"/>
                <w:szCs w:val="18"/>
              </w:rPr>
              <w:t xml:space="preserve">One-color (mono)</w:t>
            </w:r>
          </w:p>
        </w:tc>
      </w:tr>
    </w:tbl>
    <w:p>
      <w:pPr>
        <w:spacing w:before="14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Honey on light</w:t>
      </w:r>
      <w:r>
        <w:t xml:space="preserve"> — the standard mark for any light or white background.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Honey on dark</w:t>
      </w:r>
      <w:r>
        <w:t xml:space="preserve"> — the same honey mark on Hive Black or dark imagery.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Knockout on honey</w:t>
      </w:r>
      <w:r>
        <w:t xml:space="preserve"> — Paper-colored mark reversed out of a honey ground — used for app icons and honey-filled buttons.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One-color</w:t>
      </w:r>
      <w:r>
        <w:t xml:space="preserve"> — a single Hive Black version for situations where color can’t be used: faxes, embossing, single-color print, watermarks.</w:t>
      </w:r>
    </w:p>
    <w:p>
      <w:pPr>
        <w:pBdr>
          <w:bottom w:val="single" w:color="E0DCD2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Size range &amp; the favicon</w:t>
      </w:r>
    </w:p>
    <w:p>
      <w:pPr>
        <w:spacing w:after="160" w:line="288"/>
      </w:pPr>
      <w:r>
        <w:t xml:space="preserve">The triad holds from a hero banner down to roughly 24px because its stroke weight increases as it shrinks. Below that, three hollow cells become too small to keep their open centers, so the favicon </w:t>
      </w:r>
      <w:r>
        <w:rPr>
          <w:b/>
          <w:bCs/>
        </w:rPr>
        <w:t xml:space="preserve">simplifies to a single cell</w:t>
      </w:r>
      <w:r>
        <w:t xml:space="preserve"> — unmistakably part of the same comb system, and perfectly clear at 16px.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F5E5A"/>
                <w:sz w:val="18"/>
                <w:szCs w:val="18"/>
              </w:rPr>
              <w:t xml:space="preserve">32px and up — full triad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F5E5A"/>
                <w:sz w:val="18"/>
                <w:szCs w:val="18"/>
              </w:rPr>
              <w:t xml:space="preserve">16px — single cell</w:t>
            </w:r>
          </w:p>
        </w:tc>
      </w:tr>
    </w:tbl>
    <w:p>
      <w:pPr>
        <w:spacing w:before="14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32px / 48px favicon</w:t>
      </w:r>
      <w:r>
        <w:t xml:space="preserve"> — full triad, honey, increased stroke weight.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16px favicon</w:t>
      </w:r>
      <w:r>
        <w:t xml:space="preserve"> — one hollow hexagon cell — the simplest expression of the system.</w:t>
      </w:r>
    </w:p>
    <w:p>
      <w:pPr>
        <w:spacing w:after="160" w:before="60"/>
      </w:pPr>
      <w:r>
        <w:rPr>
          <w:b/>
          <w:bCs/>
        </w:rPr>
        <w:t xml:space="preserve">Minimum sizes: </w:t>
      </w:r>
      <w:r>
        <w:t xml:space="preserve">the mark is never shown below 16px; the full horizontal lockup is never shown below 120px wide (use the mark alone in tighter spaces).</w:t>
      </w:r>
    </w:p>
    <w:p>
      <w:pPr>
        <w:pBdr>
          <w:bottom w:val="single" w:color="E0DCD2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Clear space</w:t>
      </w:r>
    </w:p>
    <w:p>
      <w:pPr>
        <w:spacing w:after="160" w:line="288"/>
      </w:pPr>
      <w:r>
        <w:t xml:space="preserve">Keep a margin of empty space around the logo equal to </w:t>
      </w:r>
      <w:r>
        <w:rPr>
          <w:b/>
          <w:bCs/>
        </w:rPr>
        <w:t xml:space="preserve">the height of one hexagon cell</w:t>
      </w:r>
      <w:r>
        <w:t xml:space="preserve"> on all four sides. Nothing — no text, image edge, button, or competing graphic — should intrude into that zone. When in doubt, give it more room; the mark reads best with air around it.</w:t>
      </w:r>
    </w:p>
    <w:p>
      <w:pPr>
        <w:pBdr>
          <w:bottom w:val="single" w:color="E0DCD2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Palette</w:t>
      </w:r>
    </w:p>
    <w:p>
      <w:pPr>
        <w:spacing w:after="160" w:line="288"/>
      </w:pPr>
      <w:r>
        <w:t xml:space="preserve">Five colors carry the entire brand. The logo and the product UI share this exact system, so they always speak the same language.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E0DCD2" w:sz="2"/>
              <w:left w:val="single" w:color="E0DCD2" w:sz="2"/>
              <w:bottom w:val="single" w:color="E0DCD2" w:sz="2"/>
              <w:right w:val="single" w:color="E0DCD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val="single" w:color="E0DCD2" w:sz="2"/>
              <w:left w:val="single" w:color="E0DCD2" w:sz="2"/>
              <w:bottom w:val="single" w:color="E0DCD2" w:sz="2"/>
              <w:right w:val="single" w:color="E0DCD2" w:sz="2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 xml:space="preserve">Honey</w:t>
            </w:r>
          </w:p>
          <w:p>
            <w:r>
              <w:rPr>
                <w:rFonts w:ascii="Consolas" w:cs="Consolas" w:eastAsia="Consolas" w:hAnsi="Consolas"/>
                <w:color w:val="5F5E5A"/>
                <w:sz w:val="18"/>
                <w:szCs w:val="18"/>
              </w:rPr>
              <w:t xml:space="preserve">#F0980F</w:t>
            </w:r>
          </w:p>
        </w:tc>
        <w:tc>
          <w:tcPr>
            <w:tcW w:type="dxa" w:w="6060"/>
            <w:tcBorders>
              <w:top w:val="single" w:color="E0DCD2" w:sz="2"/>
              <w:left w:val="single" w:color="E0DCD2" w:sz="2"/>
              <w:bottom w:val="single" w:color="E0DCD2" w:sz="2"/>
              <w:right w:val="single" w:color="E0DCD2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mark, primary buttons, links, and active states. The brand's signature color.</w:t>
            </w:r>
          </w:p>
        </w:tc>
      </w:tr>
      <w:tr>
        <w:tc>
          <w:tcPr>
            <w:tcW w:type="dxa" w:w="900"/>
            <w:tcBorders>
              <w:top w:val="single" w:color="E0DCD2" w:sz="2"/>
              <w:left w:val="single" w:color="E0DCD2" w:sz="2"/>
              <w:bottom w:val="single" w:color="E0DCD2" w:sz="2"/>
              <w:right w:val="single" w:color="E0DCD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val="single" w:color="E0DCD2" w:sz="2"/>
              <w:left w:val="single" w:color="E0DCD2" w:sz="2"/>
              <w:bottom w:val="single" w:color="E0DCD2" w:sz="2"/>
              <w:right w:val="single" w:color="E0DCD2" w:sz="2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 xml:space="preserve">Hive Black</w:t>
            </w:r>
          </w:p>
          <w:p>
            <w:r>
              <w:rPr>
                <w:rFonts w:ascii="Consolas" w:cs="Consolas" w:eastAsia="Consolas" w:hAnsi="Consolas"/>
                <w:color w:val="5F5E5A"/>
                <w:sz w:val="18"/>
                <w:szCs w:val="18"/>
              </w:rPr>
              <w:t xml:space="preserve">#231A0F</w:t>
            </w:r>
          </w:p>
        </w:tc>
        <w:tc>
          <w:tcPr>
            <w:tcW w:type="dxa" w:w="6060"/>
            <w:tcBorders>
              <w:top w:val="single" w:color="E0DCD2" w:sz="2"/>
              <w:left w:val="single" w:color="E0DCD2" w:sz="2"/>
              <w:bottom w:val="single" w:color="E0DCD2" w:sz="2"/>
              <w:right w:val="single" w:color="E0DCD2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wordmark and all body text. A warm near-black, never pure #000.</w:t>
            </w:r>
          </w:p>
        </w:tc>
      </w:tr>
      <w:tr>
        <w:tc>
          <w:tcPr>
            <w:tcW w:type="dxa" w:w="900"/>
            <w:tcBorders>
              <w:top w:val="single" w:color="E0DCD2" w:sz="2"/>
              <w:left w:val="single" w:color="E0DCD2" w:sz="2"/>
              <w:bottom w:val="single" w:color="E0DCD2" w:sz="2"/>
              <w:right w:val="single" w:color="E0DCD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val="single" w:color="E0DCD2" w:sz="2"/>
              <w:left w:val="single" w:color="E0DCD2" w:sz="2"/>
              <w:bottom w:val="single" w:color="E0DCD2" w:sz="2"/>
              <w:right w:val="single" w:color="E0DCD2" w:sz="2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 xml:space="preserve">Paper</w:t>
            </w:r>
          </w:p>
          <w:p>
            <w:r>
              <w:rPr>
                <w:rFonts w:ascii="Consolas" w:cs="Consolas" w:eastAsia="Consolas" w:hAnsi="Consolas"/>
                <w:color w:val="5F5E5A"/>
                <w:sz w:val="18"/>
                <w:szCs w:val="18"/>
              </w:rPr>
              <w:t xml:space="preserve">#FCFAF6</w:t>
            </w:r>
          </w:p>
        </w:tc>
        <w:tc>
          <w:tcPr>
            <w:tcW w:type="dxa" w:w="6060"/>
            <w:tcBorders>
              <w:top w:val="single" w:color="E0DCD2" w:sz="2"/>
              <w:left w:val="single" w:color="E0DCD2" w:sz="2"/>
              <w:bottom w:val="single" w:color="E0DCD2" w:sz="2"/>
              <w:right w:val="single" w:color="E0DCD2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Backgrounds and knockout fills. A barely-warm off-white so cards sit on it cleanly.</w:t>
            </w:r>
          </w:p>
        </w:tc>
      </w:tr>
      <w:tr>
        <w:tc>
          <w:tcPr>
            <w:tcW w:type="dxa" w:w="900"/>
            <w:tcBorders>
              <w:top w:val="single" w:color="E0DCD2" w:sz="2"/>
              <w:left w:val="single" w:color="E0DCD2" w:sz="2"/>
              <w:bottom w:val="single" w:color="E0DCD2" w:sz="2"/>
              <w:right w:val="single" w:color="E0DCD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val="single" w:color="E0DCD2" w:sz="2"/>
              <w:left w:val="single" w:color="E0DCD2" w:sz="2"/>
              <w:bottom w:val="single" w:color="E0DCD2" w:sz="2"/>
              <w:right w:val="single" w:color="E0DCD2" w:sz="2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 xml:space="preserve">Nectar</w:t>
            </w:r>
          </w:p>
          <w:p>
            <w:r>
              <w:rPr>
                <w:rFonts w:ascii="Consolas" w:cs="Consolas" w:eastAsia="Consolas" w:hAnsi="Consolas"/>
                <w:color w:val="5F5E5A"/>
                <w:sz w:val="18"/>
                <w:szCs w:val="18"/>
              </w:rPr>
              <w:t xml:space="preserve">#FBEFD8</w:t>
            </w:r>
          </w:p>
        </w:tc>
        <w:tc>
          <w:tcPr>
            <w:tcW w:type="dxa" w:w="6060"/>
            <w:tcBorders>
              <w:top w:val="single" w:color="E0DCD2" w:sz="2"/>
              <w:left w:val="single" w:color="E0DCD2" w:sz="2"/>
              <w:bottom w:val="single" w:color="E0DCD2" w:sz="2"/>
              <w:right w:val="single" w:color="E0DCD2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Soft honey tint for chat user-bubbles, hover states, and quiet highlights.</w:t>
            </w:r>
          </w:p>
        </w:tc>
      </w:tr>
      <w:tr>
        <w:tc>
          <w:tcPr>
            <w:tcW w:type="dxa" w:w="900"/>
            <w:tcBorders>
              <w:top w:val="single" w:color="E0DCD2" w:sz="2"/>
              <w:left w:val="single" w:color="E0DCD2" w:sz="2"/>
              <w:bottom w:val="single" w:color="E0DCD2" w:sz="2"/>
              <w:right w:val="single" w:color="E0DCD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tcBorders>
              <w:top w:val="single" w:color="E0DCD2" w:sz="2"/>
              <w:left w:val="single" w:color="E0DCD2" w:sz="2"/>
              <w:bottom w:val="single" w:color="E0DCD2" w:sz="2"/>
              <w:right w:val="single" w:color="E0DCD2" w:sz="2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 xml:space="preserve">Verified Blue</w:t>
            </w:r>
          </w:p>
          <w:p>
            <w:r>
              <w:rPr>
                <w:rFonts w:ascii="Consolas" w:cs="Consolas" w:eastAsia="Consolas" w:hAnsi="Consolas"/>
                <w:color w:val="5F5E5A"/>
                <w:sz w:val="18"/>
                <w:szCs w:val="18"/>
              </w:rPr>
              <w:t xml:space="preserve">#1D4ED8</w:t>
            </w:r>
          </w:p>
        </w:tc>
        <w:tc>
          <w:tcPr>
            <w:tcW w:type="dxa" w:w="6060"/>
            <w:tcBorders>
              <w:top w:val="single" w:color="E0DCD2" w:sz="2"/>
              <w:left w:val="single" w:color="E0DCD2" w:sz="2"/>
              <w:bottom w:val="single" w:color="E0DCD2" w:sz="2"/>
              <w:right w:val="single" w:color="E0DCD2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Reserved exclusively for the verification badge. One color, one meaning.</w:t>
            </w:r>
          </w:p>
        </w:tc>
      </w:tr>
    </w:tbl>
    <w:p>
      <w:pPr>
        <w:spacing w:before="120"/>
      </w:pPr>
      <w:r>
        <w:rPr>
          <w:b/>
          <w:bCs/>
        </w:rPr>
        <w:t xml:space="preserve">Why blue is reserved: </w:t>
      </w:r>
      <w:r>
        <w:rPr>
          <w:sz w:val="20"/>
          <w:szCs w:val="20"/>
        </w:rPr>
        <w:t xml:space="preserve">verification is Beebop’s core promise. Keeping one color tied to one meaning makes the badge instantly recognizable and trustworthy — so Verified Blue is never used for decoration, links, or anything else.</w:t>
      </w:r>
    </w:p>
    <w:p>
      <w:pPr>
        <w:pBdr>
          <w:bottom w:val="single" w:color="E0DCD2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Typography</w:t>
      </w:r>
    </w:p>
    <w:p>
      <w:pPr>
        <w:pStyle w:val="Heading3"/>
      </w:pPr>
      <w:r>
        <w:t xml:space="preserve">Display — Bricolage Grotesque</w:t>
      </w:r>
    </w:p>
    <w:p>
      <w:pPr>
        <w:spacing w:after="160" w:line="288"/>
      </w:pPr>
      <w:r>
        <w:t xml:space="preserve">Used for the wordmark, headlines, section headings, and listing names. A grotesque with genuine character — slightly condensed and warm — that gives Beebop a voice a neutral corporate sans never would. Use it with restraint, at SemiBold or Bold, tight line-height, and a touch of negative letter-spacing.</w:t>
      </w:r>
    </w:p>
    <w:p>
      <w:pPr>
        <w:pStyle w:val="Heading3"/>
      </w:pPr>
      <w:r>
        <w:t xml:space="preserve">Body — Instrument Sans</w:t>
      </w:r>
    </w:p>
    <w:p>
      <w:pPr>
        <w:spacing w:after="160" w:line="288"/>
      </w:pPr>
      <w:r>
        <w:t xml:space="preserve">Used for interface text, messages, descriptions, and captions. Friendly and highly legible at small sizes. Turn on its </w:t>
      </w:r>
      <w:r>
        <w:rPr>
          <w:i/>
          <w:iCs/>
        </w:rPr>
        <w:t xml:space="preserve">tabular numerals</w:t>
      </w:r>
      <w:r>
        <w:t xml:space="preserve"> for every price, so figures like ₦1,200,000 align digit-for-digit — prices are data, and data deserves typographic discipline.</w:t>
      </w:r>
    </w:p>
    <w:p>
      <w:pPr>
        <w:spacing w:after="160" w:line="288"/>
      </w:pPr>
      <w:r>
        <w:rPr>
          <w:b/>
          <w:bCs/>
        </w:rPr>
        <w:t xml:space="preserve">Type scale: </w:t>
      </w:r>
      <w:r>
        <w:t xml:space="preserve">five sizes, used everywhere with no strays — roughly 13 (captions, eyebrows), 15 (body, messages), 17 (card titles), 22 (section heads), 34 (hero). A disciplined scale is half of what makes an interface feel calm.</w:t>
      </w:r>
    </w:p>
    <w:p>
      <w:pPr>
        <w:spacing w:after="160" w:line="288"/>
      </w:pPr>
      <w:r>
        <w:rPr>
          <w:i/>
          <w:iCs/>
          <w:color w:val="5F5E5A"/>
          <w:sz w:val="19"/>
          <w:szCs w:val="19"/>
        </w:rPr>
        <w:t xml:space="preserve">Both faces are free on Google Fonts. </w:t>
      </w:r>
      <w:r>
        <w:rPr>
          <w:color w:val="5F5E5A"/>
          <w:sz w:val="19"/>
          <w:szCs w:val="19"/>
        </w:rPr>
        <w:t xml:space="preserve">Sentence case is the default everywhere; avoid Title Case and ALL CAPS in the interface.</w:t>
      </w:r>
    </w:p>
    <w:p>
      <w:pPr>
        <w:pBdr>
          <w:bottom w:val="single" w:color="E0DCD2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Misuse — never do this</w:t>
      </w:r>
    </w:p>
    <w:p>
      <w:pPr>
        <w:spacing w:after="160" w:line="288"/>
      </w:pPr>
      <w:r>
        <w:t xml:space="preserve">The integrity of the mark depends on a few firm rules. Each of these breaks it: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 fill</w:t>
      </w:r>
      <w:r>
        <w:t xml:space="preserve"> — Don’t fill the cells with solid color. The hollow centers are the whole idea.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 stretching</w:t>
      </w:r>
      <w:r>
        <w:t xml:space="preserve"> — Don’t stretch, squash, or distort the proportions. Scale uniformly.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 off-brand color</w:t>
      </w:r>
      <w:r>
        <w:t xml:space="preserve"> — Don’t recolor the mark outside the approved variants — no off-brand colors, gradients, or photos inside the cells.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 rotation</w:t>
      </w:r>
      <w:r>
        <w:t xml:space="preserve"> — Don’t rotate or tilt the mark. It sits upright. (Rotation is reserved for the deliberate spin of the loading animation only.)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 effects</w:t>
      </w:r>
      <w:r>
        <w:t xml:space="preserve"> — Don’t add drop shadows, glows, bevels, or outlines.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 redrawing</w:t>
      </w:r>
      <w:r>
        <w:t xml:space="preserve"> — Don’t re-typeset or re-space the wordmark, or pair the mark with a different font.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 clutter</w:t>
      </w:r>
      <w:r>
        <w:t xml:space="preserve"> — Don’t place the logo on a busy background or a low-contrast color. Give it a clean ground.</w:t>
      </w:r>
    </w:p>
    <w:p>
      <w:pPr>
        <w:pBdr>
          <w:bottom w:val="single" w:color="E0DCD2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Motion</w:t>
      </w:r>
    </w:p>
    <w:p>
      <w:pPr>
        <w:spacing w:after="160" w:line="288"/>
      </w:pPr>
      <w:r>
        <w:t xml:space="preserve">The triad’s rotational symmetry makes it a natural loading and “thinking” animation. In the chat product, the three cells can </w:t>
      </w:r>
      <w:r>
        <w:rPr>
          <w:b/>
          <w:bCs/>
        </w:rPr>
        <w:t xml:space="preserve">rotate slowly or fill with honey one by one</w:t>
      </w:r>
      <w:r>
        <w:t xml:space="preserve"> while the assistant searches for verified homes — turning a wait into a small, on-brand moment that says “the hive is working for you.” Keep it gentle: one orchestrated motion, never frantic, and always respecting reduced-motion settings.</w:t>
      </w:r>
    </w:p>
    <w:p>
      <w:pPr>
        <w:pBdr>
          <w:bottom w:val="single" w:color="E0DCD2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Asset files</w:t>
      </w:r>
    </w:p>
    <w:p>
      <w:pPr>
        <w:spacing w:after="160" w:line="288"/>
      </w:pPr>
      <w:r>
        <w:t xml:space="preserve">The accompanying asset folder contains everything needed to ship the mark. The SVG masters are the source of truth — scale infinitely and should be used wherever possible.</w:t>
      </w:r>
    </w:p>
    <w:p>
      <w:pPr>
        <w:pStyle w:val="Heading3"/>
      </w:pPr>
      <w:r>
        <w:t xml:space="preserve">Vector (SVG)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beebop-lockup-horizontal.svg</w:t>
      </w:r>
      <w:r>
        <w:t xml:space="preserve"> — the master horizontal lockup (honey mark, Hive Black wordmark).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beebop-lockup-horizontal-dark.svg</w:t>
      </w:r>
      <w:r>
        <w:t xml:space="preserve"> — lockup for dark backgrounds (honey mark, Paper wordmark).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beebop-mark-*.svg</w:t>
      </w:r>
      <w:r>
        <w:t xml:space="preserve"> — the triad mark alone, in honey, mono, and knockout.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beebop-wordmark-*.svg</w:t>
      </w:r>
      <w:r>
        <w:t xml:space="preserve"> — the wordmark alone, in mono and knockout.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beebop-favicon*.svg</w:t>
      </w:r>
      <w:r>
        <w:t xml:space="preserve"> — the 32px+ full-triad favicon and the 16px single-cell favicon.</w:t>
      </w:r>
    </w:p>
    <w:p>
      <w:pPr>
        <w:pStyle w:val="Heading3"/>
      </w:pPr>
      <w:r>
        <w:t xml:space="preserve">Raster (PNG) &amp; icons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assets/png/</w:t>
      </w:r>
      <w:r>
        <w:t xml:space="preserve"> — transparent mark PNGs from 32px to 1024px, plus lockup PNGs.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assets/favicon/</w:t>
      </w:r>
      <w:r>
        <w:t xml:space="preserve"> — favicon.ico (multi-resolution), PNG favicons, apple-touch-icon, and PWA icons.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assets/app-icon/</w:t>
      </w:r>
      <w:r>
        <w:t xml:space="preserve"> — rounded app icons on honey and dark grounds, 180–1024px.</w:t>
      </w:r>
    </w:p>
    <w:p>
      <w:pPr>
        <w:pStyle w:val="Heading3"/>
      </w:pPr>
      <w:r>
        <w:t xml:space="preserve">Web install</w:t>
      </w:r>
    </w:p>
    <w:p>
      <w:pPr>
        <w:spacing w:after="160" w:line="288"/>
      </w:pPr>
      <w:r>
        <w:t xml:space="preserve">The favicon folder includes </w:t>
      </w:r>
      <w:r>
        <w:rPr>
          <w:b/>
          <w:bCs/>
        </w:rPr>
        <w:t xml:space="preserve">favicon-head-snippet.html</w:t>
      </w:r>
      <w:r>
        <w:t xml:space="preserve"> (drop the tags into your </w:t>
      </w:r>
      <w:r>
        <w:rPr>
          <w:rFonts w:ascii="Consolas" w:cs="Consolas" w:eastAsia="Consolas" w:hAnsi="Consolas"/>
          <w:sz w:val="19"/>
          <w:szCs w:val="19"/>
        </w:rPr>
        <w:t xml:space="preserve">&lt;head&gt;</w:t>
      </w:r>
      <w:r>
        <w:t xml:space="preserve">) and </w:t>
      </w:r>
      <w:r>
        <w:rPr>
          <w:b/>
          <w:bCs/>
        </w:rPr>
        <w:t xml:space="preserve">site.webmanifest</w:t>
      </w:r>
      <w:r>
        <w:t xml:space="preserve"> (pre-filled with Beebop’s name and theme colors) for PWA install.</w:t>
      </w:r>
    </w:p>
    <w:p>
      <w:pPr>
        <w:pBdr>
          <w:top w:val="single" w:color="E0DCD2" w:sz="6" w:space="8"/>
        </w:pBdr>
        <w:spacing w:before="320"/>
      </w:pPr>
      <w:r>
        <w:rPr>
          <w:color w:val="5F5E5A"/>
          <w:sz w:val="17"/>
          <w:szCs w:val="17"/>
        </w:rPr>
        <w:t xml:space="preserve">Beebop — Brand &amp; Logo Specification, v1.0</w:t>
      </w:r>
    </w:p>
    <w:p>
      <w:r>
        <w:rPr>
          <w:i/>
          <w:iCs/>
          <w:color w:val="5F5E5A"/>
          <w:sz w:val="17"/>
          <w:szCs w:val="17"/>
        </w:rPr>
        <w:t xml:space="preserve">Note: before printing or filing, run a trademark and reverse-image check for the mark in your category — a legal step, not a design one.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F0980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0980F" w:sz="10" w:space="6"/>
      </w:pBdr>
      <w:spacing w:after="160" w:before="360"/>
      <w:outlineLvl w:val="0"/>
    </w:pPr>
    <w:rPr>
      <w:rFonts w:ascii="Arial" w:cs="Arial" w:eastAsia="Arial" w:hAnsi="Arial"/>
      <w:b/>
      <w:bCs/>
      <w:color w:val="231A0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31A0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F0980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c218dd4b012b02f13933f2c0bde7c055fb333f.png"/><Relationship Id="rId8" Type="http://schemas.openxmlformats.org/officeDocument/2006/relationships/image" Target="media/df1766412006967fa1cc0bdac4792f1303f4a2e7.png"/><Relationship Id="rId9" Type="http://schemas.openxmlformats.org/officeDocument/2006/relationships/image" Target="media/bde83e03b56f59176975e8acd9e8a071f7c72e3c.png"/><Relationship Id="rId10" Type="http://schemas.openxmlformats.org/officeDocument/2006/relationships/image" Target="media/f329c962a9382e502564bb5dada04316f43cf363.png"/><Relationship Id="rId11" Type="http://schemas.openxmlformats.org/officeDocument/2006/relationships/image" Target="media/3d57ae471a02830ee766c781440e61c2f370bf3c.png"/><Relationship Id="rId12" Type="http://schemas.openxmlformats.org/officeDocument/2006/relationships/image" Target="media/c05f84008bef303e312d71c98cbb8a004e9f25ef.png"/><Relationship Id="rId13" Type="http://schemas.openxmlformats.org/officeDocument/2006/relationships/image" Target="media/9d0671f8826438d7a634510be5794043085dca79.png"/><Relationship Id="rId14" Type="http://schemas.openxmlformats.org/officeDocument/2006/relationships/image" Target="media/8f99fd0632511b83788ba4ae99b0eb89946c5181.png"/><Relationship Id="rId15" Type="http://schemas.openxmlformats.org/officeDocument/2006/relationships/image" Target="media/0c44ad01e33ee162b602570c71d8cdf2bda4aed2.png"/><Relationship Id="rId16" Type="http://schemas.openxmlformats.org/officeDocument/2006/relationships/image" Target="media/0cb6b21034c8bdb823135a0be6390b2c3cc5b884.png"/><Relationship Id="rId17" Type="http://schemas.openxmlformats.org/officeDocument/2006/relationships/image" Target="media/5e0032882cec9295a1132b4ec854d74882bf2b2d.png"/><Relationship Id="rId18" Type="http://schemas.openxmlformats.org/officeDocument/2006/relationships/image" Target="media/af3e5bfcc51aaadd984e949eabfa997c4ff9634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Beebop — Brand &amp; Logo Specification</dc:title>
  <dc:creator>Beebop</dc:creator>
  <dc:description>Logo system, usage rules, and design specifications for Beebop.</dc:description>
  <cp:lastModifiedBy>Un-named</cp:lastModifiedBy>
  <cp:revision>1</cp:revision>
  <dcterms:created xsi:type="dcterms:W3CDTF">2026-06-15T16:27:22.416Z</dcterms:created>
  <dcterms:modified xsi:type="dcterms:W3CDTF">2026-06-15T16:27:22.416Z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