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2A2A2B"/>
          <w:spacing w:val="30"/>
          <w:sz w:val="62"/>
          <w:szCs w:val="62"/>
        </w:rPr>
        <w:t xml:space="preserve">THE ARMORY</w:t>
      </w:r>
    </w:p>
    <w:p>
      <w:pPr>
        <w:pBdr>
          <w:bottom w:val="single" w:color="ED3036" w:sz="18"/>
        </w:pBdr>
        <w:spacing w:after="240"/>
      </w:pPr>
      <w:r>
        <w:rPr>
          <w:rFonts w:ascii="Arial" w:cs="Arial" w:eastAsia="Arial" w:hAnsi="Arial"/>
          <w:color w:val="5F6469"/>
          <w:spacing w:val="130"/>
          <w:sz w:val="20"/>
          <w:szCs w:val="20"/>
        </w:rPr>
        <w:t xml:space="preserve">SHOOTING SPORTS CLUB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A2A2B"/>
          <w:spacing w:val="50"/>
          <w:sz w:val="28"/>
          <w:szCs w:val="28"/>
        </w:rPr>
        <w:t xml:space="preserve">DESIGN SPECIFICATION</w:t>
      </w:r>
    </w:p>
    <w:p>
      <w:pPr>
        <w:spacing w:after="460"/>
      </w:pPr>
      <w:r>
        <w:rPr>
          <w:rFonts w:ascii="Arial" w:cs="Arial" w:eastAsia="Arial" w:hAnsi="Arial"/>
          <w:i/>
          <w:iCs/>
          <w:color w:val="5F6469"/>
          <w:sz w:val="20"/>
          <w:szCs w:val="20"/>
        </w:rPr>
        <w:t xml:space="preserve">Functional and technical specification for design and development</w:t>
      </w:r>
    </w:p>
    <w:p>
      <w:pPr>
        <w:spacing w:after="45"/>
      </w:pPr>
      <w:r>
        <w:rPr>
          <w:rFonts w:ascii="Arial" w:cs="Arial" w:eastAsia="Arial" w:hAnsi="Arial"/>
          <w:color w:val="5F6469"/>
          <w:sz w:val="17"/>
          <w:szCs w:val="17"/>
        </w:rPr>
        <w:t xml:space="preserve">Scope   </w:t>
      </w:r>
      <w:r>
        <w:rPr>
          <w:rFonts w:ascii="Arial" w:cs="Arial" w:eastAsia="Arial" w:hAnsi="Arial"/>
          <w:b/>
          <w:bCs/>
          <w:color w:val="2A2A2B"/>
          <w:sz w:val="17"/>
          <w:szCs w:val="17"/>
        </w:rPr>
        <w:t xml:space="preserve">Phase 1 launch website</w:t>
      </w:r>
    </w:p>
    <w:p>
      <w:pPr>
        <w:spacing w:after="45"/>
      </w:pPr>
      <w:r>
        <w:rPr>
          <w:rFonts w:ascii="Arial" w:cs="Arial" w:eastAsia="Arial" w:hAnsi="Arial"/>
          <w:color w:val="5F6469"/>
          <w:sz w:val="17"/>
          <w:szCs w:val="17"/>
        </w:rPr>
        <w:t xml:space="preserve">Deferred   </w:t>
      </w:r>
      <w:r>
        <w:rPr>
          <w:rFonts w:ascii="Arial" w:cs="Arial" w:eastAsia="Arial" w:hAnsi="Arial"/>
          <w:b/>
          <w:bCs/>
          <w:color w:val="2A2A2B"/>
          <w:sz w:val="17"/>
          <w:szCs w:val="17"/>
        </w:rPr>
        <w:t xml:space="preserve">Phase 2 — Leagues, member portal, waivers</w:t>
      </w:r>
    </w:p>
    <w:p>
      <w:pPr>
        <w:spacing w:after="45"/>
      </w:pPr>
      <w:r>
        <w:rPr>
          <w:rFonts w:ascii="Arial" w:cs="Arial" w:eastAsia="Arial" w:hAnsi="Arial"/>
          <w:color w:val="5F6469"/>
          <w:sz w:val="17"/>
          <w:szCs w:val="17"/>
        </w:rPr>
        <w:t xml:space="preserve">Companion documents   </w:t>
      </w:r>
      <w:r>
        <w:rPr>
          <w:rFonts w:ascii="Arial" w:cs="Arial" w:eastAsia="Arial" w:hAnsi="Arial"/>
          <w:b/>
          <w:bCs/>
          <w:color w:val="2A2A2B"/>
          <w:sz w:val="17"/>
          <w:szCs w:val="17"/>
        </w:rPr>
        <w:t xml:space="preserve">Website Design Brief · Brand Guidelines</w:t>
      </w:r>
    </w:p>
    <w:p>
      <w:pPr>
        <w:spacing w:after="45"/>
      </w:pPr>
      <w:r>
        <w:rPr>
          <w:rFonts w:ascii="Arial" w:cs="Arial" w:eastAsia="Arial" w:hAnsi="Arial"/>
          <w:color w:val="5F6469"/>
          <w:sz w:val="17"/>
          <w:szCs w:val="17"/>
        </w:rPr>
        <w:t xml:space="preserve">Audience   </w:t>
      </w:r>
      <w:r>
        <w:rPr>
          <w:rFonts w:ascii="Arial" w:cs="Arial" w:eastAsia="Arial" w:hAnsi="Arial"/>
          <w:b/>
          <w:bCs/>
          <w:color w:val="2A2A2B"/>
          <w:sz w:val="17"/>
          <w:szCs w:val="17"/>
        </w:rPr>
        <w:t xml:space="preserve">Designer, front-end developer, content lead</w:t>
      </w:r>
    </w:p>
    <w:p>
      <w:pPr>
        <w:spacing w:after="45"/>
      </w:pPr>
      <w:r>
        <w:rPr>
          <w:rFonts w:ascii="Arial" w:cs="Arial" w:eastAsia="Arial" w:hAnsi="Arial"/>
          <w:color w:val="5F6469"/>
          <w:sz w:val="17"/>
          <w:szCs w:val="17"/>
        </w:rPr>
        <w:t xml:space="preserve">Status   </w:t>
      </w:r>
      <w:r>
        <w:rPr>
          <w:rFonts w:ascii="Arial" w:cs="Arial" w:eastAsia="Arial" w:hAnsi="Arial"/>
          <w:b/>
          <w:bCs/>
          <w:color w:val="2A2A2B"/>
          <w:sz w:val="17"/>
          <w:szCs w:val="17"/>
        </w:rPr>
        <w:t xml:space="preserve">Draft for build — subject to open decisions in the Brief</w:t>
      </w:r>
    </w:p>
    <w:p>
      <w:pPr>
        <w:spacing w:after="45"/>
      </w:pPr>
      <w:r>
        <w:rPr>
          <w:rFonts w:ascii="Arial" w:cs="Arial" w:eastAsia="Arial" w:hAnsi="Arial"/>
          <w:color w:val="5F6469"/>
          <w:sz w:val="17"/>
          <w:szCs w:val="17"/>
        </w:rPr>
        <w:t xml:space="preserve">Revision   </w:t>
      </w:r>
      <w:r>
        <w:rPr>
          <w:rFonts w:ascii="Arial" w:cs="Arial" w:eastAsia="Arial" w:hAnsi="Arial"/>
          <w:b/>
          <w:bCs/>
          <w:color w:val="2A2A2B"/>
          <w:sz w:val="17"/>
          <w:szCs w:val="17"/>
        </w:rPr>
        <w:t xml:space="preserve">v2 — revised against LaRosa Architecture renders</w:t>
      </w:r>
    </w:p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1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Purpose and scope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This document translates the strategic positioning set out in the Website Design Brief into buildable requirements. It defines the sitemap, page-level specifications, user flows, component inventory, design system tokens, technical stack, and acceptance criteria.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It does not restate strategy.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Where a requirement here appears arbitrary, the reasoning lives in the Brief. Where visual detail is referenced, it is defined in the Brand Guidelines.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Phasing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PHASE</w:t>
            </w:r>
          </w:p>
        </w:tc>
        <w:tc>
          <w:tcPr>
            <w:tcW w:type="dxa" w:w="73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CONTENTS</w:t>
            </w:r>
          </w:p>
        </w:tc>
      </w:tr>
      <w:tr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Phase 1 — Launch</w:t>
            </w:r>
          </w:p>
        </w:tc>
        <w:tc>
          <w:tcPr>
            <w:tcW w:type="dxa" w:w="7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Public marketing site, membership application flow, first-visit booking with deposit, institutional contact route, Leagues teaser and waitlist.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Target: live at facility opening.</w:t>
            </w:r>
          </w:p>
        </w:tc>
      </w:tr>
      <w:tr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Phase 2 — Leagues</w:t>
            </w:r>
          </w:p>
        </w:tc>
        <w:tc>
          <w:tcPr>
            <w:tcW w:type="dxa" w:w="7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League creation, fixtures, score ingestion from the air rifle targeting system, standings, club ladder, social features. Member accounts and portal.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Begins after opening, once a founding-member base exists and the manual pilot has validated the loop.</w:t>
            </w:r>
          </w:p>
        </w:tc>
      </w:tr>
      <w:tr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Phase 2.5</w:t>
            </w:r>
          </w:p>
        </w:tc>
        <w:tc>
          <w:tcPr>
            <w:tcW w:type="dxa" w:w="7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Digital waivers, class and coaching calendar, competition results archive, manually-scored disciplines added to Leagues, merchandise store.</w:t>
            </w:r>
          </w:p>
        </w:tc>
      </w:tr>
    </w:tbl>
    <w:tbl>
      <w:tblPr>
        <w:tblW w:type="pct" w:w="100%"/>
        <w:tblBorders>
          <w:top w:val="single" w:color="EAE7E1" w:sz="2"/>
          <w:left w:val="single" w:color="ED3036" w:sz="22"/>
          <w:bottom w:val="single" w:color="EAE7E1" w:sz="2"/>
          <w:right w:val="single" w:color="EAE7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7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ED3036"/>
                <w:spacing w:val="50"/>
                <w:sz w:val="14"/>
                <w:szCs w:val="14"/>
              </w:rPr>
              <w:t xml:space="preserve">CONSTRAINT   </w:t>
            </w:r>
            <w:r>
              <w:rPr>
                <w:rFonts w:ascii="Arial" w:cs="Arial" w:eastAsia="Arial" w:hAnsi="Arial"/>
                <w:b/>
                <w:bCs/>
                <w:color w:val="2A2A2B"/>
                <w:sz w:val="19"/>
                <w:szCs w:val="19"/>
              </w:rPr>
              <w:t xml:space="preserve">Phase 1 must not absorb Phase 2 scope</w:t>
            </w:r>
          </w:p>
          <w:p>
            <w:pPr>
              <w:spacing w:after="55" w:line="264"/>
            </w:pPr>
            <w:r>
              <w:rPr>
                <w:rFonts w:ascii="Arial" w:cs="Arial" w:eastAsia="Arial" w:hAnsi="Arial"/>
                <w:color w:val="2A2A2B"/>
                <w:sz w:val="18"/>
                <w:szCs w:val="18"/>
              </w:rPr>
              <w:t xml:space="preserve">The launch window is a few weeks and coincides with opening a physical facility. Any attempt to build league mechanics, member accounts or a portal into Phase 1 will compromise both. The only Leagues artefact in Phase 1 is a teaser and an email waitlist.</w:t>
            </w:r>
          </w:p>
        </w:tc>
      </w:tr>
    </w:tbl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2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Sitemap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Flat and shallow. Seven public pages plus utility. Depth is the enemy of a two-minute credibility scroll.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PATH</w:t>
            </w:r>
          </w:p>
        </w:tc>
        <w:tc>
          <w:tcPr>
            <w:tcW w:type="dxa" w:w="46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PAGE</w:t>
            </w:r>
          </w:p>
        </w:tc>
        <w:tc>
          <w:tcPr>
            <w:tcW w:type="dxa" w:w="21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Home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/membership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Membership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/first-visit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The First Visit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/ranges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The Ranges (four disciplines)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/the-club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The Club — bar, decks, VIP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/groups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Groups, Corporate &amp; Events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/sport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Sport &amp; Competition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/leagues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Leagues (teaser + waitlist)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/enquire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Enquire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/legal/privacy · /legal/terms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Privacy, Terms, Refund Policy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(unlisted)</w:t>
            </w:r>
          </w:p>
        </w:tc>
        <w:tc>
          <w:tcPr>
            <w:tcW w:type="dxa" w:w="4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Institutional &amp; corporate training</w:t>
            </w:r>
          </w:p>
        </w:tc>
        <w:tc>
          <w:tcPr>
            <w:tcW w:type="dxa" w:w="2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Navigation.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Primary nav carries five items maximum: Membership, The First Visit, The Ranges, The Club, Enquire. Sport and Groups sit in the footer and as homepage modules. Leagues sits in the footer and as a homepage module until Phase 2. The institutional page is unlisted and sent after a meeting — it is not linked from navigation.</w:t>
      </w:r>
    </w:p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3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Page specifications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Home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Sell the club in one screen to a sceptical, wealthy, never-done-this visitor arriving from a friend’s WhatsApp link.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Hero. Full-bleed facility photography. Headline carries the competition-standard claim. Sub-line carries the welcome (“no experience needed — everything is provided”). Two CTAs: Apply for membership (primary), Book a first visit (secondary, visually quieter but unmissable).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proposition. Three to four short statements: competition-standard facility, everything provided, professional supervision, at the National Stadium.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first visit module. Short, warm, anxiety-reducing. Links to the full page.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range. Two or three images with brief captions naming disciplines, including air rifle. Links to The Range.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Membership module. What belonging means; founding-cohort scarcity; gated pricing; CTA to apply.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Leagues teaser. Concept in three sentences plus founding-member first-access line and waitlist capture.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Legitimacy strip. Stadium location, sporting body affiliations, safety and licensing posture.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Footer. Contact, hours, location, legal, social.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Apply for membership. Secondary: Book a first visit.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Scroll depth past the first-visit module; application starts; first-visit bookings.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Membership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Convert interest into an application, and make membership read as access to a room rather than a subscription to a facility.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Statement of what membership is — belonging, standing, the club ladder, priority.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Tier comparison. Names, inclusions, and relative positioning. Prices gated: display “On application” with an enquiry CTA, not a number.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Founding cohort. Scarcity, cap (subject to open decision), and what founders receive that later members never can.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What members get that visitors do not — including, forward-looking, the ability to create and captain leagues and appear on the club ladder.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Application form. Short. Name, contact, tier of interest, how they heard of the club, optional note. No ID upload at this stage.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What happens next. Explicit three-step description of the process so the applicant is not left guessing.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Submit application.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Application completion rate; drop-off point within the form.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The First Visit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Remove fear. This is the highest-leverage page on the site for the growth segment — women, first-timers, couples, corporate groups.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Reassurance headline. Everything is provided; no experience, licence or equipment required.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ritual, step by step. Arrival and check-in, briefing, supervision by a range officer, equipment issued, the round itself, results. Told plainly and in sequence.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What to wear and bring. Concrete, short, practical.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Safety. Stated with calm authority, not alarm. Range-owned firearms only; nothing enters the facility.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Who it is for. Explicitly names beginners, groups and non-shooters.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Pricing. Visible. Deposit terms and refund policy stated plainly.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Booking module. Date, time, party size, payment.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Soft membership bridge. “Many members started with a first visit.” No hard sell before the experience.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Book a first visit (with deposit).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Booking completion rate; deposit capture; no-show rate.</w:t>
      </w:r>
    </w:p>
    <w:p>
      <w:r>
        <w:br w:type="pag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The Ranges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Prove the competition-standard claim through the facility itself, and show that there are four distinct things to do here.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10m air rifle — eight lanes, automatic scoring, indoor, adjoining bar seating. Give it prominence: most beginner-accessible, and the future home of Leagues.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50m range — six lanes, indoor firing point, viewing rail.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25m pistol — covered outdoor firing line.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10m pistol — covered outdoor firing line.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Per-discipline specification stated factually: lanes, distances, safety systems, targeting technology.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Photography-led. Architecture, light, equipment as craft objects.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Book a first visit.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Time on page; onward click to First Visit or Membership.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The Club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Sell the evening. This page carries the half of the offer a range-only site would omit entirely.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Snack bar — seating, food and drink, adjoining the air rifle range.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viewing rail — explicitly stated: bring someone who doesn’t shoot. They have a seat and a view.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Public deck — outdoor seating, lit after dark.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VIP deck — lounge seating and canopies. Positioned as member and top-tier territory, not booked ad hoc.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Night photography leads on this page.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Apply for membership. Secondary: book a first visit.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Onward click to Membership; time on page.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Groups, Corporate &amp; Events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Capture a revenue line the facility clearly supports and a range-only site would have no home for.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What a group visit includes — ranges plus deck plus catering.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Party sizes, indicative formats, and the spectating point (non-shooters are accommodated).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Corporate away-days, celebrations, private hire of the decks.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Enquiry form routed to bookings, not to the membership pipeline.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Enquire about a group booking.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Enquiry volume and average party size.</w:t>
      </w:r>
    </w:p>
    <w:tbl>
      <w:tblPr>
        <w:tblW w:type="pct" w:w="100%"/>
        <w:tblBorders>
          <w:top w:val="single" w:color="EAE7E1" w:sz="2"/>
          <w:left w:val="single" w:color="ED3036" w:sz="22"/>
          <w:bottom w:val="single" w:color="EAE7E1" w:sz="2"/>
          <w:right w:val="single" w:color="EAE7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7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ED3036"/>
                <w:spacing w:val="50"/>
                <w:sz w:val="14"/>
                <w:szCs w:val="14"/>
              </w:rPr>
              <w:t xml:space="preserve">SECURITY   </w:t>
            </w:r>
            <w:r>
              <w:rPr>
                <w:rFonts w:ascii="Arial" w:cs="Arial" w:eastAsia="Arial" w:hAnsi="Arial"/>
                <w:b/>
                <w:bCs/>
                <w:color w:val="2A2A2B"/>
                <w:sz w:val="19"/>
                <w:szCs w:val="19"/>
              </w:rPr>
              <w:t xml:space="preserve">Content restrictions on this page</w:t>
            </w:r>
          </w:p>
          <w:p>
            <w:pPr>
              <w:spacing w:after="55" w:line="264"/>
            </w:pPr>
            <w:r>
              <w:rPr>
                <w:rFonts w:ascii="Arial" w:cs="Arial" w:eastAsia="Arial" w:hAnsi="Arial"/>
                <w:color w:val="2A2A2B"/>
                <w:sz w:val="18"/>
                <w:szCs w:val="18"/>
              </w:rPr>
              <w:t xml:space="preserve">No imagery or copy revealing facility layout, entry and exit points, storage or armoury arrangements, or security staffing. Photography must be art-directed to exclude these. This is a hard constraint, not a preference.</w:t>
            </w:r>
          </w:p>
        </w:tc>
      </w:tr>
    </w:tbl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Sport &amp; Competition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Carry institutional legitimacy — for members, for sporting bodies, and for stakeholders.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competition-standard claim, substantiated.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Affiliations and sporting-body relationships, as far as they are real.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Hosting capability for national and international events.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Pathway framing: coaching, progression, the club ladder, competition.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Enquire about competition and hosting.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Enquiries from institutional and sporting stakeholders.</w:t>
      </w:r>
    </w:p>
    <w:tbl>
      <w:tblPr>
        <w:tblW w:type="pct" w:w="100%"/>
        <w:tblBorders>
          <w:top w:val="single" w:color="EAE7E1" w:sz="2"/>
          <w:left w:val="single" w:color="ED3036" w:sz="22"/>
          <w:bottom w:val="single" w:color="EAE7E1" w:sz="2"/>
          <w:right w:val="single" w:color="EAE7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7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ED3036"/>
                <w:spacing w:val="50"/>
                <w:sz w:val="14"/>
                <w:szCs w:val="14"/>
              </w:rPr>
              <w:t xml:space="preserve">CLAIMS DISCIPLINE   </w:t>
            </w:r>
            <w:r>
              <w:rPr>
                <w:rFonts w:ascii="Arial" w:cs="Arial" w:eastAsia="Arial" w:hAnsi="Arial"/>
                <w:b/>
                <w:bCs/>
                <w:color w:val="2A2A2B"/>
                <w:sz w:val="19"/>
                <w:szCs w:val="19"/>
              </w:rPr>
              <w:t xml:space="preserve">Only publish what is true on day one</w:t>
            </w:r>
          </w:p>
          <w:p>
            <w:pPr>
              <w:spacing w:after="55" w:line="264"/>
            </w:pPr>
            <w:r>
              <w:rPr>
                <w:rFonts w:ascii="Arial" w:cs="Arial" w:eastAsia="Arial" w:hAnsi="Arial"/>
                <w:color w:val="2A2A2B"/>
                <w:sz w:val="18"/>
                <w:szCs w:val="18"/>
              </w:rPr>
              <w:t xml:space="preserve">“Built to international competition standard” is a credibility claim true from opening. “Host of the national championships” is a fact that can only be published once it has happened. Do not spend a claim that cannot yet be cashed — the audience that matters will check.</w:t>
            </w:r>
          </w:p>
        </w:tc>
      </w:tr>
    </w:tbl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Leagues (teaser)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Create anticipation and capture a waitlist. It sells a future benefit of membership; it is not a product.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concept in three sentences: friends form a league, shoot a standard air rifle round, standings update automatically.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Why it is credible — the automatic targeting system means scores are machine-verified.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Founding-member first access, stated as a membership benefit.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Email waitlist capture. Nothing else. No accounts, no league creation, no scores.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Join the Leagues waitlist.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Waitlist sign-ups; proportion converting to membership applications.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Enquire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Purpose.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Route three different enquiry types to the right destination without collapsing them into one generic form.</w:t>
      </w:r>
    </w:p>
    <w:p>
      <w:pPr>
        <w:spacing w:after="7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Content blocks, in order: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Membership enquiry — routes to the membership pipeline and a named person.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Groups, corporate and events — routes to bookings.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Institutional and professional training — a named contact and a direct telephone number. No form. This audience does not fill in web forms.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Location, hours, and directions to the facility at the National Stadium.</w:t>
      </w:r>
    </w:p>
    <w:p>
      <w:pPr>
        <w:spacing w:after="6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Primary CTA.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Contextual per enquiry type.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Success measure.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Enquiry volume by type; response time.</w:t>
      </w:r>
    </w:p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4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Core user flows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Flow A — Membership application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primary conversion event on the site. It is an application, not a purchase, and it must terminate in a human.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STEP</w:t>
            </w:r>
          </w:p>
        </w:tc>
        <w:tc>
          <w:tcPr>
            <w:tcW w:type="dxa" w:w="71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1. Entry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From Home hero, Membership page, or post-visit follow-up.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2. Form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Short. Name, email, phone, tier of interest, referral source, optional note. No ID documents, no payment.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3. Submit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Immediate on-screen confirmation stating what happens next and within what timeframe.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4. Automated email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Confirmation with a direct link to book a tour or a first visit. The visit is the sales meeting.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5. Human follow-up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Routed to a named person and a CRM record. Requires an owner from day one.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6. Close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Conducted in person, not on the website.</w:t>
            </w:r>
          </w:p>
        </w:tc>
      </w:tr>
    </w:tbl>
    <w:tbl>
      <w:tblPr>
        <w:tblW w:type="pct" w:w="100%"/>
        <w:tblBorders>
          <w:top w:val="single" w:color="EAE7E1" w:sz="2"/>
          <w:left w:val="single" w:color="ED3036" w:sz="22"/>
          <w:bottom w:val="single" w:color="EAE7E1" w:sz="2"/>
          <w:right w:val="single" w:color="EAE7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7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color w:val="ED3036"/>
                <w:spacing w:val="50"/>
                <w:sz w:val="14"/>
                <w:szCs w:val="14"/>
              </w:rPr>
              <w:t xml:space="preserve">DEPENDENCY   </w:t>
            </w:r>
            <w:r>
              <w:rPr>
                <w:rFonts w:ascii="Arial" w:cs="Arial" w:eastAsia="Arial" w:hAnsi="Arial"/>
                <w:b/>
                <w:bCs/>
                <w:color w:val="2A2A2B"/>
                <w:sz w:val="19"/>
                <w:szCs w:val="19"/>
              </w:rPr>
              <w:t xml:space="preserve">This flow requires staffing, not software</w:t>
            </w:r>
          </w:p>
          <w:p>
            <w:pPr>
              <w:spacing w:after="55" w:line="264"/>
            </w:pPr>
            <w:r>
              <w:rPr>
                <w:rFonts w:ascii="Arial" w:cs="Arial" w:eastAsia="Arial" w:hAnsi="Arial"/>
                <w:color w:val="2A2A2B"/>
                <w:sz w:val="18"/>
                <w:szCs w:val="18"/>
              </w:rPr>
              <w:t xml:space="preserve">Steps 5 and 6 have no technical component. If no person owns the membership pipeline at launch, the flow terminates in an inbox and the site becomes a waitlist rather than a funnel. Confirm the owner before build begins.</w:t>
            </w:r>
          </w:p>
        </w:tc>
      </w:tr>
    </w:tbl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Flow B — First-visit booking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STEP</w:t>
            </w:r>
          </w:p>
        </w:tc>
        <w:tc>
          <w:tcPr>
            <w:tcW w:type="dxa" w:w="71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1. Entry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Home secondary CTA, First Visit page, or membership confirmation email.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2. Select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Date, time slot, party size. Live availability.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3. Details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Name, contact, party names optional. Age confirmation and eligibility check.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4. Pay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Deposit or full payment via Nigerian gateway. Refund policy shown before payment, not after.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5. Confirm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On-screen confirmation, email with what to expect, what to wear, where to arrive.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6. Reminder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Automated reminder 24 hours prior to reduce no-shows.</w:t>
            </w:r>
          </w:p>
        </w:tc>
      </w:tr>
      <w:tr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7. Post-visit</w:t>
            </w:r>
          </w:p>
        </w:tc>
        <w:tc>
          <w:tcPr>
            <w:tcW w:type="dxa" w:w="71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Follow-up email inviting membership application. Timed shortly after the visit, while the experience is fresh.</w:t>
            </w:r>
          </w:p>
        </w:tc>
      </w:tr>
    </w:tbl>
    <w:p>
      <w:pPr>
        <w:spacing w:after="130" w:line="288"/>
      </w:pPr>
      <w:r>
        <w:rPr>
          <w:rFonts w:ascii="Arial" w:cs="Arial" w:eastAsia="Arial" w:hAnsi="Arial"/>
          <w:b/>
          <w:bCs/>
          <w:color w:val="2A2A2B"/>
          <w:sz w:val="19"/>
          <w:szCs w:val="19"/>
        </w:rPr>
        <w:t xml:space="preserve">Target: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complete in under three minutes on a mobile device.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Flow C — Institutional enquiry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Deliberately minimal. A named contact and a direct number on the Enquire page. No form, no automation, no public pricing. An unlisted capability page may be sent after an initial conversation. This audience is won in person.</w:t>
      </w:r>
    </w:p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5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Component inventory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Build once, reuse. Component names are indicative for the developer.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COMPONENT</w:t>
            </w:r>
          </w:p>
        </w:tc>
        <w:tc>
          <w:tcPr>
            <w:tcW w:type="dxa" w:w="69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Header / nav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Five items maximum. Sticky on scroll. Persistent Apply CTA on desktop; condensed on mobile.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Hero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Full-bleed image, headline, sub-line, dual CTA. Text must remain legible over photography — specify an overlay treatment in the Brand Guidelines.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Statement block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Large-type positioning statement on a plain ground. Used for the proposition and reframe moments.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Image + caption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Facility photography with restrained captions. Two and three-up variants.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Step sequence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Numbered ritual steps for the First Visit page. The single most important content component on the site.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Tier comparison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Three columns, inclusions, gated pricing, per-tier CTA. Stacks on mobile.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Specification table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Factual facility and discipline data. Tabular numerals required.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Booking module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Embedded third-party scheduler, styled to brand.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Form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Application and enquiry. Inline validation, clear error states, visible progress.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Waitlist capture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Single-field email capture for Leagues.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Discipline card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Per-range module: name, distance, lanes, scoring type, image. Reused across Ranges and Home.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Legitimacy strip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Affiliation and credential row.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Footer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Contact, hours, location, legal, social.</w:t>
            </w:r>
          </w:p>
        </w:tc>
      </w:tr>
    </w:tbl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6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Design system tokens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Colour and typeface definitions live in the Brand Guidelines. This section covers structural tokens only.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Type scale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1900"/>
        <w:gridCol w:w="2800"/>
        <w:gridCol w:w="4660"/>
      </w:tblGrid>
      <w:tr>
        <w:trPr>
          <w:tblHeader/>
        </w:trPr>
        <w:tc>
          <w:tcPr>
            <w:tcW w:type="dxa" w:w="19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TOKEN</w:t>
            </w:r>
          </w:p>
        </w:tc>
        <w:tc>
          <w:tcPr>
            <w:tcW w:type="dxa" w:w="28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DESKTOP / MOBILE</w:t>
            </w:r>
          </w:p>
        </w:tc>
        <w:tc>
          <w:tcPr>
            <w:tcW w:type="dxa" w:w="46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USE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display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64 / 40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Hero headline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h1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48 / 32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Page title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h2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32 / 24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Section heading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h3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22 / 19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Sub-heading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body-lg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20 / 18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Lead paragraph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body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17 / 16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caption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14 / 13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Captions, legal, metadata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color w:val="2A2A2B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17 / 16 px</w:t>
            </w:r>
          </w:p>
        </w:tc>
        <w:tc>
          <w:tcPr>
            <w:tcW w:type="dxa" w:w="4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Scores and specs — tabular numerals mandatory</w:t>
            </w:r>
          </w:p>
        </w:tc>
      </w:tr>
    </w:tbl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Spacing and layout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Base unit 8 px. Spacing scale: 8, 16, 24, 32, 48, 64, 96, 128.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Max content width 1280 px; text measure capped at 68 characters.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Breakpoints: 480, 768, 1024, 1440.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Generous vertical rhythm. Whitespace is the primary signal of premium positioning — do not compress sections to reduce scroll.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Motion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Restrained. Fades and short translations only. No parallax, no aggressive scroll-jacking, no counters.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Duration 200–400 ms, ease-out. Motion should feel like precision equipment, not a promo video.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Respect prefers-reduced-motion.</w:t>
      </w:r>
    </w:p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7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Technical requirements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Stack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LAYER</w:t>
            </w:r>
          </w:p>
        </w:tc>
        <w:tc>
          <w:tcPr>
            <w:tcW w:type="dxa" w:w="74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RECOMMENDATION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Framework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Next.js. Static generation for marketing pages; server routes for forms.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Hosting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Vercel or equivalent edge host with a CDN. Nigerian latency must be tested, not assumed.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CMS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Headless and lightweight, for copy and imagery only. No member or personal data in the CMS under any circumstances.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Third-party scheduling platform, styled to brand. Do not build a bespoke booking engine in Phase 1.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Payments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Paystack or Flutterwave. Naira-denominated. Card and transfer.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Forms / CRM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Applications routed to a CRM with an assigned owner and an email fallback.</w:t>
            </w:r>
          </w:p>
        </w:tc>
      </w:tr>
      <w:tr>
        <w:tc>
          <w:tcPr>
            <w:tcW w:type="dxa" w:w="19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Analytics</w:t>
            </w:r>
          </w:p>
        </w:tc>
        <w:tc>
          <w:tcPr>
            <w:tcW w:type="dxa" w:w="7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Privacy-respecting analytics. No third-party advertising trackers on pages handling personal data.</w:t>
            </w:r>
          </w:p>
        </w:tc>
      </w:tr>
    </w:tbl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Largest Contentful Paint under 2.5 s on a mid-range Android device over 4G. This is a Nigerian mobile-first audience; desktop-only testing is insufficient.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Photography is the heaviest asset and the most important — serve modern formats, responsive sizes, and lazy-load below the fold. Do not degrade hero quality to hit a score.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Total initial payload target under 1.5 MB.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WCAG 2.1 AA. Contrast must be verified, particularly for text over photography and for the red accent, which fails on mid-tones at small sizes.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Full keyboard navigability; visible focus states; correct form labelling and error association.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Alt text on all imagery, written to convey atmosphere as well as content.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2A2A2B"/>
          <w:sz w:val="22"/>
          <w:szCs w:val="22"/>
        </w:rPr>
        <w:t xml:space="preserve">Data handling and security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No ID documents collected via the website in Phase 1. Identity verification happens in person.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Personal data encrypted at rest and in transit. Access limited to named staff.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No public member directory, no published attendance, no schedules attributable to individuals.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Written, published refund and deposit policy, linked before payment.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Privacy policy compliant with the Nigeria Data Protection Act.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Phase 2 note: league standings must use display names and omit timestamps, so the product does not become a public attendance log.</w:t>
      </w:r>
    </w:p>
    <w:p>
      <w:r>
        <w:br w:type="page"/>
      </w:r>
    </w:p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8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Content required from the client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Build cannot complete without these. Ordered by lead time — the first item is the longest and most perishable.</w:t>
      </w:r>
    </w:p>
    <w:tbl>
      <w:tblPr>
        <w:tblW w:type="pct" w:w="100%"/>
        <w:tblBorders>
          <w:top w:val="single" w:color="D8D4CD" w:sz="2"/>
          <w:left w:val="none"/>
          <w:bottom w:val="single" w:color="D8D4CD" w:sz="2"/>
          <w:right w:val="none"/>
          <w:insideH w:val="single" w:color="D8D4CD" w:sz="2"/>
          <w:insideV w:val="none"/>
        </w:tblBorders>
      </w:tblPr>
      <w:tblGrid>
        <w:gridCol w:w="2100"/>
        <w:gridCol w:w="5300"/>
        <w:gridCol w:w="1960"/>
      </w:tblGrid>
      <w:tr>
        <w:trPr>
          <w:tblHeader/>
        </w:trPr>
        <w:tc>
          <w:tcPr>
            <w:tcW w:type="dxa" w:w="21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ITEM</w:t>
            </w:r>
          </w:p>
        </w:tc>
        <w:tc>
          <w:tcPr>
            <w:tcW w:type="dxa" w:w="530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NOTES</w:t>
            </w:r>
          </w:p>
        </w:tc>
        <w:tc>
          <w:tcPr>
            <w:tcW w:type="dxa" w:w="1960"/>
            <w:shd w:fill="2A2A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6F5F2"/>
                <w:spacing w:val="40"/>
                <w:sz w:val="15"/>
                <w:szCs w:val="15"/>
              </w:rPr>
              <w:t xml:space="preserve">OWNER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Facility photography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Commissioned shoot, before opening, in two registers — day (precision) and night (belonging). Full shot list in Brand Guidelines. Critical path.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Founder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Membership tiers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Names, inclusions, prices, founding cap.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Founder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First-visit pricing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Price, deposit amount, refund policy wording.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Founder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Facility specification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Per discipline: lanes, distances, targeting system, safety systems. Plus bar and deck capacities.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Hospitality detail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Snack bar offer, deck capacities, VIP deck access rules and pricing.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Affiliations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Sporting body relationships and any certifications, with evidence.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Founder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Named contacts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Membership owner and institutional contact, with direct number.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Founder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Legal copy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Privacy, terms, refund policy, liability and eligibility.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A2A2B"/>
                <w:sz w:val="18"/>
                <w:szCs w:val="18"/>
              </w:rPr>
              <w:t xml:space="preserve">Logo files</w:t>
            </w:r>
          </w:p>
        </w:tc>
        <w:tc>
          <w:tcPr>
            <w:tcW w:type="dxa" w:w="5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Vector, all lockups and variants.</w:t>
            </w:r>
          </w:p>
        </w:tc>
        <w:tc>
          <w:tcPr>
            <w:tcW w:type="dxa" w:w="1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5F6469"/>
                <w:sz w:val="18"/>
                <w:szCs w:val="18"/>
              </w:rPr>
              <w:t xml:space="preserve">Founder</w:t>
            </w:r>
          </w:p>
        </w:tc>
      </w:tr>
    </w:tbl>
    <w:p>
      <w:pPr>
        <w:spacing w:after="50" w:before="40"/>
      </w:pPr>
      <w:r>
        <w:rPr>
          <w:rFonts w:ascii="Arial" w:cs="Arial" w:eastAsia="Arial" w:hAnsi="Arial"/>
          <w:b/>
          <w:bCs/>
          <w:color w:val="ED3036"/>
          <w:spacing w:val="70"/>
          <w:sz w:val="15"/>
          <w:szCs w:val="15"/>
        </w:rPr>
        <w:t xml:space="preserve">SECTION 9</w:t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2A2A2B"/>
          <w:spacing w:val="-4"/>
          <w:sz w:val="30"/>
          <w:szCs w:val="30"/>
        </w:rPr>
        <w:t xml:space="preserve">Acceptance criteria</w:t>
      </w:r>
    </w:p>
    <w:p>
      <w:pPr>
        <w:spacing w:after="130" w:line="288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Phase 1 site is complete when all of the following are true: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A first-time visitor can book and pay for a first visit on a mobile device in under three minutes.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A membership application submits, confirms on screen, sends an automated email, and lands with a named owner.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No membership price is published anywhere on the public site.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No page reveals facility layout, entry points, storage or security arrangements.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Every claim on the site is true on the day it goes live.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site passes WCAG 2.1 AA and meets the stated performance budget on a mid-range Android device over Nigerian mobile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Refund and deposit terms appear before payment is taken.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Arial" w:cs="Arial" w:eastAsia="Arial" w:hAnsi="Arial"/>
          <w:color w:val="2A2A2B"/>
          <w:sz w:val="19"/>
          <w:szCs w:val="19"/>
        </w:rPr>
        <w:t xml:space="preserve">The Leagues page captures a waitlist and promises nothing that Phase 2 will not deliver.</w:t>
      </w:r>
    </w:p>
    <w:p>
      <w:pPr>
        <w:pBdr>
          <w:bottom w:val="single" w:color="D8D4CD" w:sz="6"/>
        </w:pBdr>
        <w:spacing w:after="130" w:before="110"/>
      </w:pPr>
      <w:r>
        <w:t xml:space="preserve"/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ED3036"/>
          <w:sz w:val="19"/>
          <w:szCs w:val="19"/>
        </w:rPr>
        <w:t xml:space="preserve">Dependency note. </w:t>
      </w:r>
      <w:r>
        <w:rPr>
          <w:rFonts w:ascii="Arial" w:cs="Arial" w:eastAsia="Arial" w:hAnsi="Arial"/>
          <w:color w:val="2A2A2B"/>
          <w:sz w:val="19"/>
          <w:szCs w:val="19"/>
        </w:rPr>
        <w:t xml:space="preserve">This specification assumes the open decisions listed in the Website Design Brief are resolved before build. Three in particular block work: the founding-member cap (Home and Membership copy), the tier structure (Membership page and enquiry routing), and the post-application owner (Flow A).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right"/>
    </w:pPr>
    <w:r>
      <w:rPr>
        <w:rFonts w:ascii="Arial" w:cs="Arial" w:eastAsia="Arial" w:hAnsi="Arial"/>
        <w:color w:val="8A8D8F"/>
        <w:spacing w:val="30"/>
        <w:sz w:val="14"/>
        <w:szCs w:val="14"/>
      </w:rPr>
      <w:t xml:space="preserve">THE ARMORY  ·  </w:t>
    </w:r>
    <w:r>
      <w:rPr>
        <w:rFonts w:ascii="Arial" w:cs="Arial" w:eastAsia="Arial" w:hAnsi="Arial"/>
        <w:color w:val="8A8D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Armory — Design Specification</dc:title>
  <dc:creator>The Armory Shooting Sports Club</dc:creator>
  <cp:lastModifiedBy>Un-named</cp:lastModifiedBy>
  <cp:revision>1</cp:revision>
  <dcterms:created xsi:type="dcterms:W3CDTF">2026-07-29T19:20:02.286Z</dcterms:created>
  <dcterms:modified xsi:type="dcterms:W3CDTF">2026-07-29T19:20:02.286Z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