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30"/>
      </w:pPr>
      <w:r>
        <w:rPr>
          <w:rFonts w:ascii="Arial" w:cs="Arial" w:eastAsia="Arial" w:hAnsi="Arial"/>
          <w:b/>
          <w:bCs/>
          <w:color w:val="2A2A2B"/>
          <w:spacing w:val="30"/>
          <w:sz w:val="62"/>
          <w:szCs w:val="62"/>
        </w:rPr>
        <w:t xml:space="preserve">THE ARMORY</w:t>
      </w:r>
    </w:p>
    <w:p>
      <w:pPr>
        <w:pBdr>
          <w:bottom w:val="single" w:color="ED3036" w:sz="18"/>
        </w:pBdr>
        <w:spacing w:after="240"/>
      </w:pPr>
      <w:r>
        <w:rPr>
          <w:rFonts w:ascii="Arial" w:cs="Arial" w:eastAsia="Arial" w:hAnsi="Arial"/>
          <w:color w:val="5F6469"/>
          <w:spacing w:val="130"/>
          <w:sz w:val="20"/>
          <w:szCs w:val="20"/>
        </w:rPr>
        <w:t xml:space="preserve">SHOOTING SPORTS CLUB</w:t>
      </w:r>
    </w:p>
    <w:p>
      <w:pPr>
        <w:spacing w:after="40"/>
      </w:pPr>
      <w:r>
        <w:rPr>
          <w:rFonts w:ascii="Arial" w:cs="Arial" w:eastAsia="Arial" w:hAnsi="Arial"/>
          <w:b/>
          <w:bCs/>
          <w:color w:val="2A2A2B"/>
          <w:spacing w:val="50"/>
          <w:sz w:val="28"/>
          <w:szCs w:val="28"/>
        </w:rPr>
        <w:t xml:space="preserve">BRAND GUIDELINES</w:t>
      </w:r>
    </w:p>
    <w:p>
      <w:pPr>
        <w:spacing w:after="460"/>
      </w:pPr>
      <w:r>
        <w:rPr>
          <w:rFonts w:ascii="Arial" w:cs="Arial" w:eastAsia="Arial" w:hAnsi="Arial"/>
          <w:i/>
          <w:iCs/>
          <w:color w:val="5F6469"/>
          <w:sz w:val="20"/>
          <w:szCs w:val="20"/>
        </w:rPr>
        <w:t xml:space="preserve">Identity, palette, typography, art direction and voice</w:t>
      </w:r>
    </w:p>
    <w:p>
      <w:pPr>
        <w:spacing w:after="45"/>
      </w:pPr>
      <w:r>
        <w:rPr>
          <w:rFonts w:ascii="Arial" w:cs="Arial" w:eastAsia="Arial" w:hAnsi="Arial"/>
          <w:color w:val="5F6469"/>
          <w:sz w:val="17"/>
          <w:szCs w:val="17"/>
        </w:rPr>
        <w:t xml:space="preserve">Brand   </w:t>
      </w:r>
      <w:r>
        <w:rPr>
          <w:rFonts w:ascii="Arial" w:cs="Arial" w:eastAsia="Arial" w:hAnsi="Arial"/>
          <w:b/>
          <w:bCs/>
          <w:color w:val="2A2A2B"/>
          <w:sz w:val="17"/>
          <w:szCs w:val="17"/>
        </w:rPr>
        <w:t xml:space="preserve">The Armory Shooting Sports Club</w:t>
      </w:r>
    </w:p>
    <w:p>
      <w:pPr>
        <w:spacing w:after="45"/>
      </w:pPr>
      <w:r>
        <w:rPr>
          <w:rFonts w:ascii="Arial" w:cs="Arial" w:eastAsia="Arial" w:hAnsi="Arial"/>
          <w:color w:val="5F6469"/>
          <w:sz w:val="17"/>
          <w:szCs w:val="17"/>
        </w:rPr>
        <w:t xml:space="preserve">Derived from   </w:t>
      </w:r>
      <w:r>
        <w:rPr>
          <w:rFonts w:ascii="Arial" w:cs="Arial" w:eastAsia="Arial" w:hAnsi="Arial"/>
          <w:b/>
          <w:bCs/>
          <w:color w:val="2A2A2B"/>
          <w:sz w:val="17"/>
          <w:szCs w:val="17"/>
        </w:rPr>
        <w:t xml:space="preserve">The existing mark and the LaRosa Architecture design proposal</w:t>
      </w:r>
    </w:p>
    <w:p>
      <w:pPr>
        <w:spacing w:after="45"/>
      </w:pPr>
      <w:r>
        <w:rPr>
          <w:rFonts w:ascii="Arial" w:cs="Arial" w:eastAsia="Arial" w:hAnsi="Arial"/>
          <w:color w:val="5F6469"/>
          <w:sz w:val="17"/>
          <w:szCs w:val="17"/>
        </w:rPr>
        <w:t xml:space="preserve">Companion documents   </w:t>
      </w:r>
      <w:r>
        <w:rPr>
          <w:rFonts w:ascii="Arial" w:cs="Arial" w:eastAsia="Arial" w:hAnsi="Arial"/>
          <w:b/>
          <w:bCs/>
          <w:color w:val="2A2A2B"/>
          <w:sz w:val="17"/>
          <w:szCs w:val="17"/>
        </w:rPr>
        <w:t xml:space="preserve">Website Design Brief · Design Specification</w:t>
      </w:r>
    </w:p>
    <w:p>
      <w:pPr>
        <w:spacing w:after="45"/>
      </w:pPr>
      <w:r>
        <w:rPr>
          <w:rFonts w:ascii="Arial" w:cs="Arial" w:eastAsia="Arial" w:hAnsi="Arial"/>
          <w:color w:val="5F6469"/>
          <w:sz w:val="17"/>
          <w:szCs w:val="17"/>
        </w:rPr>
        <w:t xml:space="preserve">Applies to   </w:t>
      </w:r>
      <w:r>
        <w:rPr>
          <w:rFonts w:ascii="Arial" w:cs="Arial" w:eastAsia="Arial" w:hAnsi="Arial"/>
          <w:b/>
          <w:bCs/>
          <w:color w:val="2A2A2B"/>
          <w:sz w:val="17"/>
          <w:szCs w:val="17"/>
        </w:rPr>
        <w:t xml:space="preserve">Website, signage, merchandise, social, print</w:t>
      </w:r>
    </w:p>
    <w:p>
      <w:pPr>
        <w:spacing w:after="45"/>
      </w:pPr>
      <w:r>
        <w:rPr>
          <w:rFonts w:ascii="Arial" w:cs="Arial" w:eastAsia="Arial" w:hAnsi="Arial"/>
          <w:color w:val="5F6469"/>
          <w:sz w:val="17"/>
          <w:szCs w:val="17"/>
        </w:rPr>
        <w:t xml:space="preserve">Status   </w:t>
      </w:r>
      <w:r>
        <w:rPr>
          <w:rFonts w:ascii="Arial" w:cs="Arial" w:eastAsia="Arial" w:hAnsi="Arial"/>
          <w:b/>
          <w:bCs/>
          <w:color w:val="2A2A2B"/>
          <w:sz w:val="17"/>
          <w:szCs w:val="17"/>
        </w:rPr>
        <w:t xml:space="preserve">Version 2 — revised against the architectural renders</w:t>
      </w:r>
    </w:p>
    <w:p>
      <w:r>
        <w:br w:type="page"/>
      </w:r>
    </w:p>
    <w:p>
      <w:pPr>
        <w:spacing w:after="50" w:before="40"/>
      </w:pPr>
      <w:r>
        <w:rPr>
          <w:rFonts w:ascii="Arial" w:cs="Arial" w:eastAsia="Arial" w:hAnsi="Arial"/>
          <w:b/>
          <w:bCs/>
          <w:color w:val="ED3036"/>
          <w:spacing w:val="70"/>
          <w:sz w:val="15"/>
          <w:szCs w:val="15"/>
        </w:rPr>
        <w:t xml:space="preserve">SECTION 1</w:t>
      </w:r>
    </w:p>
    <w:p>
      <w:pPr>
        <w:spacing w:after="130" w:before="0"/>
      </w:pPr>
      <w:r>
        <w:rPr>
          <w:rFonts w:ascii="Arial" w:cs="Arial" w:eastAsia="Arial" w:hAnsi="Arial"/>
          <w:b/>
          <w:bCs/>
          <w:color w:val="2A2A2B"/>
          <w:spacing w:val="-4"/>
          <w:sz w:val="30"/>
          <w:szCs w:val="30"/>
        </w:rPr>
        <w:t xml:space="preserve">Brand foundation</w:t>
      </w:r>
    </w:p>
    <w:p>
      <w:pPr>
        <w:spacing w:after="90" w:before="220"/>
      </w:pPr>
      <w:r>
        <w:rPr>
          <w:rFonts w:ascii="Arial" w:cs="Arial" w:eastAsia="Arial" w:hAnsi="Arial"/>
          <w:b/>
          <w:bCs/>
          <w:color w:val="2A2A2B"/>
          <w:sz w:val="22"/>
          <w:szCs w:val="22"/>
        </w:rPr>
        <w:t xml:space="preserve">The idea</w:t>
      </w:r>
    </w:p>
    <w:p>
      <w:pPr>
        <w:spacing w:after="130" w:line="288"/>
      </w:pPr>
      <w:r>
        <w:rPr>
          <w:rFonts w:ascii="Arial" w:cs="Arial" w:eastAsia="Arial" w:hAnsi="Arial"/>
          <w:b/>
          <w:bCs/>
          <w:color w:val="ED3036"/>
          <w:sz w:val="19"/>
          <w:szCs w:val="19"/>
        </w:rPr>
        <w:t xml:space="preserve">Sport and precision, not combat. </w:t>
      </w:r>
      <w:r>
        <w:rPr>
          <w:rFonts w:ascii="Arial" w:cs="Arial" w:eastAsia="Arial" w:hAnsi="Arial"/>
          <w:color w:val="2A2A2B"/>
          <w:sz w:val="19"/>
          <w:szCs w:val="19"/>
        </w:rPr>
        <w:t xml:space="preserve">The single governing principle. Every colour, typeface, image and sentence is tested against it.</w:t>
      </w:r>
    </w:p>
    <w:p>
      <w:pPr>
        <w:spacing w:after="130" w:line="288"/>
      </w:pPr>
      <w:r>
        <w:rPr>
          <w:rFonts w:ascii="Arial" w:cs="Arial" w:eastAsia="Arial" w:hAnsi="Arial"/>
          <w:color w:val="2A2A2B"/>
          <w:sz w:val="19"/>
          <w:szCs w:val="19"/>
        </w:rPr>
        <w:t xml:space="preserve">In Nigeria, firearms carry heavy negative association. An identity that reads tactical borrows that association and becomes a liability. The Armory belongs instead to the world of Olympic marksmanship, motorsport and fine craft — discipline, stillness, mastery, access.</w:t>
      </w:r>
    </w:p>
    <w:tbl>
      <w:tblPr>
        <w:tblW w:type="pct" w:w="100%"/>
        <w:tblBorders>
          <w:top w:val="single" w:color="EAE7E1" w:sz="2"/>
          <w:left w:val="single" w:color="8FA6B2" w:sz="22"/>
          <w:bottom w:val="single" w:color="EAE7E1" w:sz="2"/>
          <w:right w:val="single" w:color="EAE7E1" w:sz="2"/>
          <w:insideH w:val="none"/>
          <w:insideV w:val="none"/>
        </w:tblBorders>
      </w:tblPr>
      <w:tblGrid>
        <w:gridCol w:w="9360"/>
      </w:tblGrid>
      <w:tr>
        <w:tc>
          <w:tcPr>
            <w:tcW w:type="dxa" w:w="9360"/>
            <w:shd w:fill="EAE7E1" w:val="clear"/>
            <w:tcMar>
              <w:top w:type="dxa" w:w="150"/>
              <w:left w:type="dxa" w:w="200"/>
              <w:bottom w:type="dxa" w:w="150"/>
              <w:right w:type="dxa" w:w="200"/>
            </w:tcMar>
          </w:tcPr>
          <w:p>
            <w:pPr>
              <w:spacing w:after="55"/>
            </w:pPr>
            <w:r>
              <w:rPr>
                <w:rFonts w:ascii="Arial" w:cs="Arial" w:eastAsia="Arial" w:hAnsi="Arial"/>
                <w:b/>
                <w:bCs/>
                <w:color w:val="8FA6B2"/>
                <w:spacing w:val="50"/>
                <w:sz w:val="14"/>
                <w:szCs w:val="14"/>
              </w:rPr>
              <w:t xml:space="preserve">IMPORTANT   </w:t>
            </w:r>
            <w:r>
              <w:rPr>
                <w:rFonts w:ascii="Arial" w:cs="Arial" w:eastAsia="Arial" w:hAnsi="Arial"/>
                <w:b/>
                <w:bCs/>
                <w:color w:val="2A2A2B"/>
                <w:sz w:val="19"/>
                <w:szCs w:val="19"/>
              </w:rPr>
              <w:t xml:space="preserve">The architecture has already won this argument</w:t>
            </w:r>
          </w:p>
          <w:p>
            <w:pPr>
              <w:spacing w:after="55" w:line="264"/>
            </w:pPr>
            <w:r>
              <w:rPr>
                <w:rFonts w:ascii="Arial" w:cs="Arial" w:eastAsia="Arial" w:hAnsi="Arial"/>
                <w:color w:val="2A2A2B"/>
                <w:sz w:val="18"/>
                <w:szCs w:val="18"/>
              </w:rPr>
              <w:t xml:space="preserve">The building is terrazzo, warm teak, white render, black steel and — most tellingly — pale blue painted soffits with light blue and teal furniture on the decks. That is the material language of a resort or a members’ club. There is nothing tactical anywhere in it.</w:t>
            </w:r>
          </w:p>
          <w:p>
            <w:pPr>
              <w:spacing w:after="55" w:line="264"/>
            </w:pPr>
            <w:r>
              <w:rPr>
                <w:rFonts w:ascii="Arial" w:cs="Arial" w:eastAsia="Arial" w:hAnsi="Arial"/>
                <w:color w:val="2A2A2B"/>
                <w:sz w:val="18"/>
                <w:szCs w:val="18"/>
              </w:rPr>
              <w:t xml:space="preserve">This is the most useful fact in these guidelines. The brand does not have to argue that this is a sporting club; it has to report a building that already is one. Where brand and architecture disagree, follow the architecture.</w:t>
            </w:r>
          </w:p>
        </w:tc>
      </w:tr>
    </w:tbl>
    <w:p>
      <w:pPr>
        <w:spacing w:after="90" w:before="220"/>
      </w:pPr>
      <w:r>
        <w:rPr>
          <w:rFonts w:ascii="Arial" w:cs="Arial" w:eastAsia="Arial" w:hAnsi="Arial"/>
          <w:b/>
          <w:bCs/>
          <w:color w:val="2A2A2B"/>
          <w:sz w:val="22"/>
          <w:szCs w:val="22"/>
        </w:rPr>
        <w:t xml:space="preserve">What the club actually is</w:t>
      </w:r>
    </w:p>
    <w:p>
      <w:pPr>
        <w:spacing w:after="130" w:line="288"/>
      </w:pPr>
      <w:r>
        <w:rPr>
          <w:rFonts w:ascii="Arial" w:cs="Arial" w:eastAsia="Arial" w:hAnsi="Arial"/>
          <w:color w:val="2A2A2B"/>
          <w:sz w:val="19"/>
          <w:szCs w:val="19"/>
        </w:rPr>
        <w:t xml:space="preserve">The renders reveal a facility considerably broader than a range. Four shooting disciplines sit alongside a snack bar, a public deck, a separate VIP deck, and structured arrival. </w:t>
      </w:r>
      <w:r>
        <w:rPr>
          <w:rFonts w:ascii="Arial" w:cs="Arial" w:eastAsia="Arial" w:hAnsi="Arial"/>
          <w:b/>
          <w:bCs/>
          <w:color w:val="2A2A2B"/>
          <w:sz w:val="19"/>
          <w:szCs w:val="19"/>
        </w:rPr>
        <w:t xml:space="preserve">The shooting is the anchor; the hospitality is the dwell time. </w:t>
      </w:r>
      <w:r>
        <w:rPr>
          <w:rFonts w:ascii="Arial" w:cs="Arial" w:eastAsia="Arial" w:hAnsi="Arial"/>
          <w:color w:val="2A2A2B"/>
          <w:sz w:val="19"/>
          <w:szCs w:val="19"/>
        </w:rPr>
        <w:t xml:space="preserve">This is an evening destination where people happen to shoot — not a sports facility with a vending machine.</w:t>
      </w:r>
    </w:p>
    <w:p>
      <w:pPr>
        <w:spacing w:after="130" w:line="288"/>
      </w:pPr>
      <w:r>
        <w:rPr>
          <w:rFonts w:ascii="Arial" w:cs="Arial" w:eastAsia="Arial" w:hAnsi="Arial"/>
          <w:b/>
          <w:bCs/>
          <w:color w:val="ED3036"/>
          <w:sz w:val="19"/>
          <w:szCs w:val="19"/>
        </w:rPr>
        <w:t xml:space="preserve">Spectating is designed in. </w:t>
      </w:r>
      <w:r>
        <w:rPr>
          <w:rFonts w:ascii="Arial" w:cs="Arial" w:eastAsia="Arial" w:hAnsi="Arial"/>
          <w:color w:val="2A2A2B"/>
          <w:sz w:val="19"/>
          <w:szCs w:val="19"/>
        </w:rPr>
        <w:t xml:space="preserve">Both the 10m air rifle range and the 50m range have viewing rails, and the air rifle line has bar seating directly overlooking it. A visitor who does not shoot has somewhere to sit, something to drink, and a clear view. This is the most commercially significant detail in the building, and the brand should exploit it: you can bring people who have no interest in firearms.</w:t>
      </w:r>
    </w:p>
    <w:p>
      <w:pPr>
        <w:spacing w:after="90" w:before="220"/>
      </w:pPr>
      <w:r>
        <w:rPr>
          <w:rFonts w:ascii="Arial" w:cs="Arial" w:eastAsia="Arial" w:hAnsi="Arial"/>
          <w:b/>
          <w:bCs/>
          <w:color w:val="2A2A2B"/>
          <w:sz w:val="22"/>
          <w:szCs w:val="22"/>
        </w:rPr>
        <w:t xml:space="preserve">Brand attributes</w:t>
      </w:r>
    </w:p>
    <w:p>
      <w:pPr>
        <w:pStyle w:val="ListParagraph"/>
        <w:numPr>
          <w:ilvl w:val="0"/>
          <w:numId w:val="1"/>
        </w:numPr>
        <w:spacing w:after="80" w:line="276"/>
      </w:pPr>
      <w:r>
        <w:rPr>
          <w:rFonts w:ascii="Arial" w:cs="Arial" w:eastAsia="Arial" w:hAnsi="Arial"/>
          <w:b/>
          <w:bCs/>
          <w:color w:val="2A2A2B"/>
          <w:sz w:val="19"/>
          <w:szCs w:val="19"/>
        </w:rPr>
        <w:t xml:space="preserve">Precise. </w:t>
      </w:r>
      <w:r>
        <w:rPr>
          <w:rFonts w:ascii="Arial" w:cs="Arial" w:eastAsia="Arial" w:hAnsi="Arial"/>
          <w:color w:val="2A2A2B"/>
          <w:sz w:val="19"/>
          <w:szCs w:val="19"/>
        </w:rPr>
        <w:t xml:space="preserve">Everything measured, nothing approximate.</w:t>
      </w:r>
    </w:p>
    <w:p>
      <w:pPr>
        <w:pStyle w:val="ListParagraph"/>
        <w:numPr>
          <w:ilvl w:val="0"/>
          <w:numId w:val="1"/>
        </w:numPr>
        <w:spacing w:after="80" w:line="276"/>
      </w:pPr>
      <w:r>
        <w:rPr>
          <w:rFonts w:ascii="Arial" w:cs="Arial" w:eastAsia="Arial" w:hAnsi="Arial"/>
          <w:b/>
          <w:bCs/>
          <w:color w:val="2A2A2B"/>
          <w:sz w:val="19"/>
          <w:szCs w:val="19"/>
        </w:rPr>
        <w:t xml:space="preserve">Composed. </w:t>
      </w:r>
      <w:r>
        <w:rPr>
          <w:rFonts w:ascii="Arial" w:cs="Arial" w:eastAsia="Arial" w:hAnsi="Arial"/>
          <w:color w:val="2A2A2B"/>
          <w:sz w:val="19"/>
          <w:szCs w:val="19"/>
        </w:rPr>
        <w:t xml:space="preserve">Calm authority. The brand never raises its voice.</w:t>
      </w:r>
    </w:p>
    <w:p>
      <w:pPr>
        <w:pStyle w:val="ListParagraph"/>
        <w:numPr>
          <w:ilvl w:val="0"/>
          <w:numId w:val="1"/>
        </w:numPr>
        <w:spacing w:after="80" w:line="276"/>
      </w:pPr>
      <w:r>
        <w:rPr>
          <w:rFonts w:ascii="Arial" w:cs="Arial" w:eastAsia="Arial" w:hAnsi="Arial"/>
          <w:b/>
          <w:bCs/>
          <w:color w:val="2A2A2B"/>
          <w:sz w:val="19"/>
          <w:szCs w:val="19"/>
        </w:rPr>
        <w:t xml:space="preserve">Hospitable. </w:t>
      </w:r>
      <w:r>
        <w:rPr>
          <w:rFonts w:ascii="Arial" w:cs="Arial" w:eastAsia="Arial" w:hAnsi="Arial"/>
          <w:color w:val="2A2A2B"/>
          <w:sz w:val="19"/>
          <w:szCs w:val="19"/>
        </w:rPr>
        <w:t xml:space="preserve">Everything is provided. Arrive with nothing; stay for the evening.</w:t>
      </w:r>
    </w:p>
    <w:p>
      <w:pPr>
        <w:pStyle w:val="ListParagraph"/>
        <w:numPr>
          <w:ilvl w:val="0"/>
          <w:numId w:val="1"/>
        </w:numPr>
        <w:spacing w:after="80" w:line="276"/>
      </w:pPr>
      <w:r>
        <w:rPr>
          <w:rFonts w:ascii="Arial" w:cs="Arial" w:eastAsia="Arial" w:hAnsi="Arial"/>
          <w:b/>
          <w:bCs/>
          <w:color w:val="2A2A2B"/>
          <w:sz w:val="19"/>
          <w:szCs w:val="19"/>
        </w:rPr>
        <w:t xml:space="preserve">Exclusive, not exclusionary. </w:t>
      </w:r>
      <w:r>
        <w:rPr>
          <w:rFonts w:ascii="Arial" w:cs="Arial" w:eastAsia="Arial" w:hAnsi="Arial"/>
          <w:color w:val="2A2A2B"/>
          <w:sz w:val="19"/>
          <w:szCs w:val="19"/>
        </w:rPr>
        <w:t xml:space="preserve">Scarce and elevated, yet welcoming to the beginner. Holding both is the central craft of this brand.</w:t>
      </w:r>
    </w:p>
    <w:p>
      <w:r>
        <w:br w:type="page"/>
      </w:r>
    </w:p>
    <w:p>
      <w:pPr>
        <w:spacing w:after="50" w:before="40"/>
      </w:pPr>
      <w:r>
        <w:rPr>
          <w:rFonts w:ascii="Arial" w:cs="Arial" w:eastAsia="Arial" w:hAnsi="Arial"/>
          <w:b/>
          <w:bCs/>
          <w:color w:val="ED3036"/>
          <w:spacing w:val="70"/>
          <w:sz w:val="15"/>
          <w:szCs w:val="15"/>
        </w:rPr>
        <w:t xml:space="preserve">SECTION 2</w:t>
      </w:r>
    </w:p>
    <w:p>
      <w:pPr>
        <w:spacing w:after="130" w:before="0"/>
      </w:pPr>
      <w:r>
        <w:rPr>
          <w:rFonts w:ascii="Arial" w:cs="Arial" w:eastAsia="Arial" w:hAnsi="Arial"/>
          <w:b/>
          <w:bCs/>
          <w:color w:val="2A2A2B"/>
          <w:spacing w:val="-4"/>
          <w:sz w:val="30"/>
          <w:szCs w:val="30"/>
        </w:rPr>
        <w:t xml:space="preserve">The name and descriptor</w:t>
      </w:r>
    </w:p>
    <w:p>
      <w:pPr>
        <w:spacing w:after="130" w:line="288"/>
      </w:pPr>
      <w:r>
        <w:rPr>
          <w:rFonts w:ascii="Arial" w:cs="Arial" w:eastAsia="Arial" w:hAnsi="Arial"/>
          <w:color w:val="2A2A2B"/>
          <w:sz w:val="19"/>
          <w:szCs w:val="19"/>
        </w:rPr>
        <w:t xml:space="preserve">“Armory” alone leans tactical — literally a storehouse of weapons. The descriptor resolves it. </w:t>
      </w:r>
      <w:r>
        <w:rPr>
          <w:rFonts w:ascii="Arial" w:cs="Arial" w:eastAsia="Arial" w:hAnsi="Arial"/>
          <w:b/>
          <w:bCs/>
          <w:color w:val="2A2A2B"/>
          <w:sz w:val="19"/>
          <w:szCs w:val="19"/>
        </w:rPr>
        <w:t xml:space="preserve">The Armory — Shooting Sports Club</w:t>
      </w:r>
      <w:r>
        <w:rPr>
          <w:rFonts w:ascii="Arial" w:cs="Arial" w:eastAsia="Arial" w:hAnsi="Arial"/>
          <w:color w:val="2A2A2B"/>
          <w:sz w:val="19"/>
          <w:szCs w:val="19"/>
        </w:rPr>
        <w:t xml:space="preserve"> delivers the reframe in three words, before a line of copy is read.</w:t>
      </w:r>
    </w:p>
    <w:tbl>
      <w:tblPr>
        <w:tblW w:type="pct" w:w="100%"/>
        <w:tblBorders>
          <w:top w:val="single" w:color="EAE7E1" w:sz="2"/>
          <w:left w:val="single" w:color="ED3036" w:sz="22"/>
          <w:bottom w:val="single" w:color="EAE7E1" w:sz="2"/>
          <w:right w:val="single" w:color="EAE7E1" w:sz="2"/>
          <w:insideH w:val="none"/>
          <w:insideV w:val="none"/>
        </w:tblBorders>
      </w:tblPr>
      <w:tblGrid>
        <w:gridCol w:w="9360"/>
      </w:tblGrid>
      <w:tr>
        <w:tc>
          <w:tcPr>
            <w:tcW w:type="dxa" w:w="9360"/>
            <w:shd w:fill="EAE7E1" w:val="clear"/>
            <w:tcMar>
              <w:top w:type="dxa" w:w="150"/>
              <w:left w:type="dxa" w:w="200"/>
              <w:bottom w:type="dxa" w:w="150"/>
              <w:right w:type="dxa" w:w="200"/>
            </w:tcMar>
          </w:tcPr>
          <w:p>
            <w:pPr>
              <w:spacing w:after="55"/>
            </w:pPr>
            <w:r>
              <w:rPr>
                <w:rFonts w:ascii="Arial" w:cs="Arial" w:eastAsia="Arial" w:hAnsi="Arial"/>
                <w:b/>
                <w:bCs/>
                <w:color w:val="ED3036"/>
                <w:spacing w:val="50"/>
                <w:sz w:val="14"/>
                <w:szCs w:val="14"/>
              </w:rPr>
              <w:t xml:space="preserve">RULE   </w:t>
            </w:r>
            <w:r>
              <w:rPr>
                <w:rFonts w:ascii="Arial" w:cs="Arial" w:eastAsia="Arial" w:hAnsi="Arial"/>
                <w:b/>
                <w:bCs/>
                <w:color w:val="2A2A2B"/>
                <w:sz w:val="19"/>
                <w:szCs w:val="19"/>
              </w:rPr>
              <w:t xml:space="preserve">The descriptor is part of the logo</w:t>
            </w:r>
          </w:p>
          <w:p>
            <w:pPr>
              <w:spacing w:after="55" w:line="264"/>
            </w:pPr>
            <w:r>
              <w:rPr>
                <w:rFonts w:ascii="Arial" w:cs="Arial" w:eastAsia="Arial" w:hAnsi="Arial"/>
                <w:color w:val="2A2A2B"/>
                <w:sz w:val="18"/>
                <w:szCs w:val="18"/>
              </w:rPr>
              <w:t xml:space="preserve">“SHOOTING SPORTS CLUB” is not an optional tagline. It is the element that files the name under sport rather than weaponry, and it does the heaviest positioning work in the identity.</w:t>
            </w:r>
          </w:p>
          <w:p>
            <w:pPr>
              <w:spacing w:after="55" w:line="264"/>
            </w:pPr>
            <w:r>
              <w:rPr>
                <w:rFonts w:ascii="Arial" w:cs="Arial" w:eastAsia="Arial" w:hAnsi="Arial"/>
                <w:color w:val="2A2A2B"/>
                <w:sz w:val="18"/>
                <w:szCs w:val="18"/>
              </w:rPr>
              <w:t xml:space="preserve">Use the wordmark without the descriptor only where the audience already knows the brand and space is genuinely constrained — embroidery, favicon, avatar. Never on first contact, never on the website header, never on signage.</w:t>
            </w:r>
          </w:p>
        </w:tc>
      </w:tr>
    </w:tbl>
    <w:p>
      <w:pPr>
        <w:spacing w:after="130" w:line="288"/>
      </w:pPr>
      <w:r>
        <w:rPr>
          <w:rFonts w:ascii="Arial" w:cs="Arial" w:eastAsia="Arial" w:hAnsi="Arial"/>
          <w:b/>
          <w:bCs/>
          <w:color w:val="2A2A2B"/>
          <w:sz w:val="19"/>
          <w:szCs w:val="19"/>
        </w:rPr>
        <w:t xml:space="preserve">Verbal usage. </w:t>
      </w:r>
      <w:r>
        <w:rPr>
          <w:rFonts w:ascii="Arial" w:cs="Arial" w:eastAsia="Arial" w:hAnsi="Arial"/>
          <w:color w:val="2A2A2B"/>
          <w:sz w:val="19"/>
          <w:szCs w:val="19"/>
        </w:rPr>
        <w:t xml:space="preserve">“The Armory” in body copy after first mention. “The Armory Shooting Sports Club” on first mention, in all formal contexts, and in every metadata field — page titles, search descriptions, social profiles, business listings. The descriptor is how a stranger understands what this is.</w:t>
      </w:r>
    </w:p>
    <w:p>
      <w:pPr>
        <w:spacing w:after="50" w:before="40"/>
      </w:pPr>
      <w:r>
        <w:rPr>
          <w:rFonts w:ascii="Arial" w:cs="Arial" w:eastAsia="Arial" w:hAnsi="Arial"/>
          <w:b/>
          <w:bCs/>
          <w:color w:val="ED3036"/>
          <w:spacing w:val="70"/>
          <w:sz w:val="15"/>
          <w:szCs w:val="15"/>
        </w:rPr>
        <w:t xml:space="preserve">SECTION 3</w:t>
      </w:r>
    </w:p>
    <w:p>
      <w:pPr>
        <w:spacing w:after="130" w:before="300"/>
      </w:pPr>
      <w:r>
        <w:rPr>
          <w:rFonts w:ascii="Arial" w:cs="Arial" w:eastAsia="Arial" w:hAnsi="Arial"/>
          <w:b/>
          <w:bCs/>
          <w:color w:val="2A2A2B"/>
          <w:spacing w:val="-4"/>
          <w:sz w:val="30"/>
          <w:szCs w:val="30"/>
        </w:rPr>
        <w:t xml:space="preserve">The mark</w:t>
      </w:r>
    </w:p>
    <w:p>
      <w:pPr>
        <w:spacing w:after="130" w:line="288"/>
      </w:pPr>
      <w:r>
        <w:rPr>
          <w:rFonts w:ascii="Arial" w:cs="Arial" w:eastAsia="Arial" w:hAnsi="Arial"/>
          <w:color w:val="2A2A2B"/>
          <w:sz w:val="19"/>
          <w:szCs w:val="19"/>
        </w:rPr>
        <w:t xml:space="preserve">A segmented reticle — a grey ring with black tick elements and a solid red centre dot — locked to a stencil wordmark and a squared descriptor.</w:t>
      </w:r>
    </w:p>
    <w:p>
      <w:pPr>
        <w:spacing w:after="90" w:before="220"/>
      </w:pPr>
      <w:r>
        <w:rPr>
          <w:rFonts w:ascii="Arial" w:cs="Arial" w:eastAsia="Arial" w:hAnsi="Arial"/>
          <w:b/>
          <w:bCs/>
          <w:color w:val="2A2A2B"/>
          <w:sz w:val="22"/>
          <w:szCs w:val="22"/>
        </w:rPr>
        <w:t xml:space="preserve">What works</w:t>
      </w:r>
    </w:p>
    <w:p>
      <w:pPr>
        <w:spacing w:after="130" w:line="288"/>
      </w:pPr>
      <w:r>
        <w:rPr>
          <w:rFonts w:ascii="Arial" w:cs="Arial" w:eastAsia="Arial" w:hAnsi="Arial"/>
          <w:color w:val="2A2A2B"/>
          <w:sz w:val="19"/>
          <w:szCs w:val="19"/>
        </w:rPr>
        <w:t xml:space="preserve">The reticle is a </w:t>
      </w:r>
      <w:r>
        <w:rPr>
          <w:rFonts w:ascii="Arial" w:cs="Arial" w:eastAsia="Arial" w:hAnsi="Arial"/>
          <w:i/>
          <w:iCs/>
          <w:color w:val="2A2A2B"/>
          <w:sz w:val="19"/>
          <w:szCs w:val="19"/>
        </w:rPr>
        <w:t xml:space="preserve">targeting</w:t>
      </w:r>
      <w:r>
        <w:rPr>
          <w:rFonts w:ascii="Arial" w:cs="Arial" w:eastAsia="Arial" w:hAnsi="Arial"/>
          <w:color w:val="2A2A2B"/>
          <w:sz w:val="19"/>
          <w:szCs w:val="19"/>
        </w:rPr>
        <w:t xml:space="preserve"> device, not a </w:t>
      </w:r>
      <w:r>
        <w:rPr>
          <w:rFonts w:ascii="Arial" w:cs="Arial" w:eastAsia="Arial" w:hAnsi="Arial"/>
          <w:i/>
          <w:iCs/>
          <w:color w:val="2A2A2B"/>
          <w:sz w:val="19"/>
          <w:szCs w:val="19"/>
        </w:rPr>
        <w:t xml:space="preserve">weapon</w:t>
      </w:r>
      <w:r>
        <w:rPr>
          <w:rFonts w:ascii="Arial" w:cs="Arial" w:eastAsia="Arial" w:hAnsi="Arial"/>
          <w:color w:val="2A2A2B"/>
          <w:sz w:val="19"/>
          <w:szCs w:val="19"/>
        </w:rPr>
        <w:t xml:space="preserve">. It signals aim, focus and precision without depicting a firearm. This is exactly right, and it should be protected: the entire graphic system can be built from targets, rings, centres and scoring, and never from guns.</w:t>
      </w:r>
    </w:p>
    <w:p>
      <w:pPr>
        <w:spacing w:after="130" w:line="288"/>
      </w:pPr>
      <w:r>
        <w:rPr>
          <w:rFonts w:ascii="Arial" w:cs="Arial" w:eastAsia="Arial" w:hAnsi="Arial"/>
          <w:b/>
          <w:bCs/>
          <w:color w:val="2A2A2B"/>
          <w:sz w:val="19"/>
          <w:szCs w:val="19"/>
        </w:rPr>
        <w:t xml:space="preserve">The centre dot is the brand’s entire aggression budget. </w:t>
      </w:r>
      <w:r>
        <w:rPr>
          <w:rFonts w:ascii="Arial" w:cs="Arial" w:eastAsia="Arial" w:hAnsi="Arial"/>
          <w:color w:val="2A2A2B"/>
          <w:sz w:val="19"/>
          <w:szCs w:val="19"/>
        </w:rPr>
        <w:t xml:space="preserve">One point of red against warm neutrals reads as precision. Red used broadly reads as danger. Discipline here separates a sporting club from a warning sign.</w:t>
      </w:r>
    </w:p>
    <w:p>
      <w:pPr>
        <w:spacing w:after="90" w:before="220"/>
      </w:pPr>
      <w:r>
        <w:rPr>
          <w:rFonts w:ascii="Arial" w:cs="Arial" w:eastAsia="Arial" w:hAnsi="Arial"/>
          <w:b/>
          <w:bCs/>
          <w:color w:val="2A2A2B"/>
          <w:sz w:val="22"/>
          <w:szCs w:val="22"/>
        </w:rPr>
        <w:t xml:space="preserve">A tension to decide deliberately</w:t>
      </w:r>
    </w:p>
    <w:tbl>
      <w:tblPr>
        <w:tblW w:type="pct" w:w="100%"/>
        <w:tblBorders>
          <w:top w:val="single" w:color="EAE7E1" w:sz="2"/>
          <w:left w:val="single" w:color="ED3036" w:sz="22"/>
          <w:bottom w:val="single" w:color="EAE7E1" w:sz="2"/>
          <w:right w:val="single" w:color="EAE7E1" w:sz="2"/>
          <w:insideH w:val="none"/>
          <w:insideV w:val="none"/>
        </w:tblBorders>
      </w:tblPr>
      <w:tblGrid>
        <w:gridCol w:w="9360"/>
      </w:tblGrid>
      <w:tr>
        <w:tc>
          <w:tcPr>
            <w:tcW w:type="dxa" w:w="9360"/>
            <w:shd w:fill="EAE7E1" w:val="clear"/>
            <w:tcMar>
              <w:top w:type="dxa" w:w="150"/>
              <w:left w:type="dxa" w:w="200"/>
              <w:bottom w:type="dxa" w:w="150"/>
              <w:right w:type="dxa" w:w="200"/>
            </w:tcMar>
          </w:tcPr>
          <w:p>
            <w:pPr>
              <w:spacing w:after="55"/>
            </w:pPr>
            <w:r>
              <w:rPr>
                <w:rFonts w:ascii="Arial" w:cs="Arial" w:eastAsia="Arial" w:hAnsi="Arial"/>
                <w:b/>
                <w:bCs/>
                <w:color w:val="ED3036"/>
                <w:spacing w:val="50"/>
                <w:sz w:val="14"/>
                <w:szCs w:val="14"/>
              </w:rPr>
              <w:t xml:space="preserve">NAMED ISSUE   </w:t>
            </w:r>
            <w:r>
              <w:rPr>
                <w:rFonts w:ascii="Arial" w:cs="Arial" w:eastAsia="Arial" w:hAnsi="Arial"/>
                <w:b/>
                <w:bCs/>
                <w:color w:val="2A2A2B"/>
                <w:sz w:val="19"/>
                <w:szCs w:val="19"/>
              </w:rPr>
              <w:t xml:space="preserve">The wordmark is set in a military stencil</w:t>
            </w:r>
          </w:p>
          <w:p>
            <w:pPr>
              <w:spacing w:after="55" w:line="264"/>
            </w:pPr>
            <w:r>
              <w:rPr>
                <w:rFonts w:ascii="Arial" w:cs="Arial" w:eastAsia="Arial" w:hAnsi="Arial"/>
                <w:color w:val="2A2A2B"/>
                <w:sz w:val="18"/>
                <w:szCs w:val="18"/>
              </w:rPr>
              <w:t xml:space="preserve">“THE ARMORY” uses a stencil face — the segmented lettering of ammunition crates and ordnance boxes. It pulls toward precisely the association this project exists to escape, and it sits uneasily beside a building of pale blue soffits and teal deck furniture.</w:t>
            </w:r>
          </w:p>
          <w:p>
            <w:pPr>
              <w:spacing w:after="55" w:line="264"/>
            </w:pPr>
            <w:r>
              <w:rPr>
                <w:rFonts w:ascii="Arial" w:cs="Arial" w:eastAsia="Arial" w:hAnsi="Arial"/>
                <w:color w:val="2A2A2B"/>
                <w:sz w:val="18"/>
                <w:szCs w:val="18"/>
              </w:rPr>
              <w:t xml:space="preserve">Three things currently counterweight it: the “Shooting Sports Club” descriptor, the sport-coded reticle, and the architecture itself. Those may well be sufficient — a confident execution can carry a meaning the typeface did not intend.</w:t>
            </w:r>
          </w:p>
          <w:p>
            <w:pPr>
              <w:spacing w:after="55" w:line="264"/>
            </w:pPr>
            <w:r>
              <w:rPr>
                <w:rFonts w:ascii="Arial" w:cs="Arial" w:eastAsia="Arial" w:hAnsi="Arial"/>
                <w:color w:val="2A2A2B"/>
                <w:sz w:val="18"/>
                <w:szCs w:val="18"/>
              </w:rPr>
              <w:t xml:space="preserve">Flagged as a decision to take deliberately rather than inherit. Options, in order of ambition:</w:t>
            </w:r>
          </w:p>
          <w:p>
            <w:pPr>
              <w:spacing w:after="55" w:line="264"/>
            </w:pPr>
            <w:r>
              <w:rPr>
                <w:rFonts w:ascii="Arial" w:cs="Arial" w:eastAsia="Arial" w:hAnsi="Arial"/>
                <w:color w:val="2A2A2B"/>
                <w:sz w:val="18"/>
                <w:szCs w:val="18"/>
              </w:rPr>
              <w:t xml:space="preserve">A — Keep as is. Let the descriptor, the reticle and the building carry the reframe. Lowest cost, no disruption, some residual tension.</w:t>
            </w:r>
          </w:p>
          <w:p>
            <w:pPr>
              <w:spacing w:after="55" w:line="264"/>
            </w:pPr>
            <w:r>
              <w:rPr>
                <w:rFonts w:ascii="Arial" w:cs="Arial" w:eastAsia="Arial" w:hAnsi="Arial"/>
                <w:color w:val="2A2A2B"/>
                <w:sz w:val="18"/>
                <w:szCs w:val="18"/>
              </w:rPr>
              <w:t xml:space="preserve">B — Retain the reticle and lockup structure; redraw the wordmark in a precision grotesque. Preserves recognition value while removing the only genuinely tactical element. Recommended.</w:t>
            </w:r>
          </w:p>
          <w:p>
            <w:pPr>
              <w:spacing w:after="55" w:line="264"/>
            </w:pPr>
            <w:r>
              <w:rPr>
                <w:rFonts w:ascii="Arial" w:cs="Arial" w:eastAsia="Arial" w:hAnsi="Arial"/>
                <w:color w:val="2A2A2B"/>
                <w:sz w:val="18"/>
                <w:szCs w:val="18"/>
              </w:rPr>
              <w:t xml:space="preserve">C — Full identity redraw. Not advised: the reticle and descriptor are assets, and the launch window does not allow it.</w:t>
            </w:r>
          </w:p>
        </w:tc>
      </w:tr>
    </w:tbl>
    <w:p>
      <w:pPr>
        <w:spacing w:after="90" w:before="220"/>
      </w:pPr>
      <w:r>
        <w:rPr>
          <w:rFonts w:ascii="Arial" w:cs="Arial" w:eastAsia="Arial" w:hAnsi="Arial"/>
          <w:b/>
          <w:bCs/>
          <w:color w:val="2A2A2B"/>
          <w:sz w:val="22"/>
          <w:szCs w:val="22"/>
        </w:rPr>
        <w:t xml:space="preserve">Clear space and minimum size</w:t>
      </w:r>
    </w:p>
    <w:p>
      <w:pPr>
        <w:pStyle w:val="ListParagraph"/>
        <w:numPr>
          <w:ilvl w:val="0"/>
          <w:numId w:val="1"/>
        </w:numPr>
        <w:spacing w:after="80" w:line="276"/>
      </w:pPr>
      <w:r>
        <w:rPr>
          <w:rFonts w:ascii="Arial" w:cs="Arial" w:eastAsia="Arial" w:hAnsi="Arial"/>
          <w:color w:val="2A2A2B"/>
          <w:sz w:val="19"/>
          <w:szCs w:val="19"/>
        </w:rPr>
        <w:t xml:space="preserve">Clear space on all sides equal to the diameter of the centre dot. Nothing intrudes.</w:t>
      </w:r>
    </w:p>
    <w:p>
      <w:pPr>
        <w:pStyle w:val="ListParagraph"/>
        <w:numPr>
          <w:ilvl w:val="0"/>
          <w:numId w:val="1"/>
        </w:numPr>
        <w:spacing w:after="80" w:line="276"/>
      </w:pPr>
      <w:r>
        <w:rPr>
          <w:rFonts w:ascii="Arial" w:cs="Arial" w:eastAsia="Arial" w:hAnsi="Arial"/>
          <w:color w:val="2A2A2B"/>
          <w:sz w:val="19"/>
          <w:szCs w:val="19"/>
        </w:rPr>
        <w:t xml:space="preserve">Minimum width with descriptor: 140 px digital, 35 mm print. Below this the descriptor becomes illegible — use the reticle alone.</w:t>
      </w:r>
    </w:p>
    <w:p>
      <w:pPr>
        <w:pStyle w:val="ListParagraph"/>
        <w:numPr>
          <w:ilvl w:val="0"/>
          <w:numId w:val="1"/>
        </w:numPr>
        <w:spacing w:after="80" w:line="276"/>
      </w:pPr>
      <w:r>
        <w:rPr>
          <w:rFonts w:ascii="Arial" w:cs="Arial" w:eastAsia="Arial" w:hAnsi="Arial"/>
          <w:color w:val="2A2A2B"/>
          <w:sz w:val="19"/>
          <w:szCs w:val="19"/>
        </w:rPr>
        <w:t xml:space="preserve">Reticle alone: minimum 24 px. Favicons, avatars, embroidery, embossing only.</w:t>
      </w:r>
    </w:p>
    <w:p>
      <w:pPr>
        <w:spacing w:after="90" w:before="220"/>
      </w:pPr>
      <w:r>
        <w:rPr>
          <w:rFonts w:ascii="Arial" w:cs="Arial" w:eastAsia="Arial" w:hAnsi="Arial"/>
          <w:b/>
          <w:bCs/>
          <w:color w:val="2A2A2B"/>
          <w:sz w:val="22"/>
          <w:szCs w:val="22"/>
        </w:rPr>
        <w:t xml:space="preserve">Approved variants</w:t>
      </w:r>
    </w:p>
    <w:tbl>
      <w:tblPr>
        <w:tblW w:type="pct" w:w="100%"/>
        <w:tblBorders>
          <w:top w:val="single" w:color="D8D4CD" w:sz="2"/>
          <w:left w:val="none"/>
          <w:bottom w:val="single" w:color="D8D4CD" w:sz="2"/>
          <w:right w:val="none"/>
          <w:insideH w:val="single" w:color="D8D4CD" w:sz="2"/>
          <w:insideV w:val="none"/>
        </w:tblBorders>
      </w:tblPr>
      <w:tblGrid>
        <w:gridCol w:w="2400"/>
        <w:gridCol w:w="6960"/>
      </w:tblGrid>
      <w:tr>
        <w:trPr>
          <w:tblHeader/>
        </w:trPr>
        <w:tc>
          <w:tcPr>
            <w:tcW w:type="dxa" w:w="24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VARIANT</w:t>
            </w:r>
          </w:p>
        </w:tc>
        <w:tc>
          <w:tcPr>
            <w:tcW w:type="dxa" w:w="696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USE</w:t>
            </w:r>
          </w:p>
        </w:tc>
      </w:tr>
      <w:tr>
        <w:tc>
          <w:tcPr>
            <w:tcW w:type="dxa" w:w="24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Full horizontal lockup</w:t>
            </w:r>
          </w:p>
        </w:tc>
        <w:tc>
          <w:tcPr>
            <w:tcW w:type="dxa" w:w="69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Default. Reticle, wordmark, descriptor. Website header, signage, documents, every first-contact surface.</w:t>
            </w:r>
          </w:p>
        </w:tc>
      </w:tr>
      <w:tr>
        <w:tc>
          <w:tcPr>
            <w:tcW w:type="dxa" w:w="24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Stacked lockup</w:t>
            </w:r>
          </w:p>
        </w:tc>
        <w:tc>
          <w:tcPr>
            <w:tcW w:type="dxa" w:w="69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Square formats, merchandise, social profiles.</w:t>
            </w:r>
          </w:p>
        </w:tc>
      </w:tr>
      <w:tr>
        <w:tc>
          <w:tcPr>
            <w:tcW w:type="dxa" w:w="24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Reticle only</w:t>
            </w:r>
          </w:p>
        </w:tc>
        <w:tc>
          <w:tcPr>
            <w:tcW w:type="dxa" w:w="69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Favicon, avatar, embossing, embroidery, watermark. Only where the brand is already known.</w:t>
            </w:r>
          </w:p>
        </w:tc>
      </w:tr>
      <w:tr>
        <w:tc>
          <w:tcPr>
            <w:tcW w:type="dxa" w:w="24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Single-colour</w:t>
            </w:r>
          </w:p>
        </w:tc>
        <w:tc>
          <w:tcPr>
            <w:tcW w:type="dxa" w:w="69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Reticle Black on light grounds; Chalk on dark grounds. For engraving, embroidery and single-colour print.</w:t>
            </w:r>
          </w:p>
        </w:tc>
      </w:tr>
    </w:tbl>
    <w:p>
      <w:pPr>
        <w:spacing w:after="90" w:before="220"/>
      </w:pPr>
      <w:r>
        <w:rPr>
          <w:rFonts w:ascii="Arial" w:cs="Arial" w:eastAsia="Arial" w:hAnsi="Arial"/>
          <w:b/>
          <w:bCs/>
          <w:color w:val="2A2A2B"/>
          <w:sz w:val="22"/>
          <w:szCs w:val="22"/>
        </w:rPr>
        <w:t xml:space="preserve">Misuse</w:t>
      </w:r>
    </w:p>
    <w:p>
      <w:pPr>
        <w:pStyle w:val="ListParagraph"/>
        <w:numPr>
          <w:ilvl w:val="0"/>
          <w:numId w:val="1"/>
        </w:numPr>
        <w:spacing w:after="80" w:line="276"/>
      </w:pPr>
      <w:r>
        <w:rPr>
          <w:rFonts w:ascii="Arial" w:cs="Arial" w:eastAsia="Arial" w:hAnsi="Arial"/>
          <w:color w:val="2A2A2B"/>
          <w:sz w:val="19"/>
          <w:szCs w:val="19"/>
        </w:rPr>
        <w:t xml:space="preserve">Do not recolour outside approved variants. The dot is red or it is absent.</w:t>
      </w:r>
    </w:p>
    <w:p>
      <w:pPr>
        <w:pStyle w:val="ListParagraph"/>
        <w:numPr>
          <w:ilvl w:val="0"/>
          <w:numId w:val="1"/>
        </w:numPr>
        <w:spacing w:after="80" w:line="276"/>
      </w:pPr>
      <w:r>
        <w:rPr>
          <w:rFonts w:ascii="Arial" w:cs="Arial" w:eastAsia="Arial" w:hAnsi="Arial"/>
          <w:color w:val="2A2A2B"/>
          <w:sz w:val="19"/>
          <w:szCs w:val="19"/>
        </w:rPr>
        <w:t xml:space="preserve">Do not stretch, rotate, outline, or apply gradients, shadows or effects.</w:t>
      </w:r>
    </w:p>
    <w:p>
      <w:pPr>
        <w:pStyle w:val="ListParagraph"/>
        <w:numPr>
          <w:ilvl w:val="0"/>
          <w:numId w:val="1"/>
        </w:numPr>
        <w:spacing w:after="80" w:line="276"/>
      </w:pPr>
      <w:r>
        <w:rPr>
          <w:rFonts w:ascii="Arial" w:cs="Arial" w:eastAsia="Arial" w:hAnsi="Arial"/>
          <w:color w:val="2A2A2B"/>
          <w:sz w:val="19"/>
          <w:szCs w:val="19"/>
        </w:rPr>
        <w:t xml:space="preserve">Do not place the full lockup over busy photography. Use a clear zone or a single-colour variant.</w:t>
      </w:r>
    </w:p>
    <w:p>
      <w:pPr>
        <w:pStyle w:val="ListParagraph"/>
        <w:numPr>
          <w:ilvl w:val="0"/>
          <w:numId w:val="1"/>
        </w:numPr>
        <w:spacing w:after="80" w:line="276"/>
      </w:pPr>
      <w:r>
        <w:rPr>
          <w:rFonts w:ascii="Arial" w:cs="Arial" w:eastAsia="Arial" w:hAnsi="Arial"/>
          <w:color w:val="2A2A2B"/>
          <w:sz w:val="19"/>
          <w:szCs w:val="19"/>
        </w:rPr>
        <w:t xml:space="preserve">Do not combine the reticle with any firearm, cartridge, bullet hole or human-silhouette target.</w:t>
      </w:r>
    </w:p>
    <w:p>
      <w:pPr>
        <w:pStyle w:val="ListParagraph"/>
        <w:numPr>
          <w:ilvl w:val="0"/>
          <w:numId w:val="1"/>
        </w:numPr>
        <w:spacing w:after="80" w:line="276"/>
      </w:pPr>
      <w:r>
        <w:rPr>
          <w:rFonts w:ascii="Arial" w:cs="Arial" w:eastAsia="Arial" w:hAnsi="Arial"/>
          <w:color w:val="2A2A2B"/>
          <w:sz w:val="19"/>
          <w:szCs w:val="19"/>
        </w:rPr>
        <w:t xml:space="preserve">Do not recreate the lockup. Use supplied vector files.</w:t>
      </w:r>
    </w:p>
    <w:p>
      <w:r>
        <w:br w:type="page"/>
      </w:r>
    </w:p>
    <w:p>
      <w:pPr>
        <w:spacing w:after="50" w:before="40"/>
      </w:pPr>
      <w:r>
        <w:rPr>
          <w:rFonts w:ascii="Arial" w:cs="Arial" w:eastAsia="Arial" w:hAnsi="Arial"/>
          <w:b/>
          <w:bCs/>
          <w:color w:val="ED3036"/>
          <w:spacing w:val="70"/>
          <w:sz w:val="15"/>
          <w:szCs w:val="15"/>
        </w:rPr>
        <w:t xml:space="preserve">SECTION 4</w:t>
      </w:r>
    </w:p>
    <w:p>
      <w:pPr>
        <w:spacing w:after="130" w:before="0"/>
      </w:pPr>
      <w:r>
        <w:rPr>
          <w:rFonts w:ascii="Arial" w:cs="Arial" w:eastAsia="Arial" w:hAnsi="Arial"/>
          <w:b/>
          <w:bCs/>
          <w:color w:val="2A2A2B"/>
          <w:spacing w:val="-4"/>
          <w:sz w:val="30"/>
          <w:szCs w:val="30"/>
        </w:rPr>
        <w:t xml:space="preserve">Colour</w:t>
      </w:r>
    </w:p>
    <w:p>
      <w:pPr>
        <w:spacing w:after="130" w:line="288"/>
      </w:pPr>
      <w:r>
        <w:rPr>
          <w:rFonts w:ascii="Arial" w:cs="Arial" w:eastAsia="Arial" w:hAnsi="Arial"/>
          <w:b/>
          <w:bCs/>
          <w:color w:val="2A2A2B"/>
          <w:sz w:val="19"/>
          <w:szCs w:val="19"/>
        </w:rPr>
        <w:t xml:space="preserve">Core values are sampled directly from the mark; material and accent values from the architectural renders. </w:t>
      </w:r>
      <w:r>
        <w:rPr>
          <w:rFonts w:ascii="Arial" w:cs="Arial" w:eastAsia="Arial" w:hAnsi="Arial"/>
          <w:color w:val="2A2A2B"/>
          <w:sz w:val="19"/>
          <w:szCs w:val="19"/>
        </w:rPr>
        <w:t xml:space="preserve">A brand and its building should feel like the same organisation. The website should look like it belongs on that deck.</w:t>
      </w:r>
    </w:p>
    <w:p>
      <w:pPr>
        <w:spacing w:after="90" w:before="220"/>
      </w:pPr>
      <w:r>
        <w:rPr>
          <w:rFonts w:ascii="Arial" w:cs="Arial" w:eastAsia="Arial" w:hAnsi="Arial"/>
          <w:b/>
          <w:bCs/>
          <w:color w:val="2A2A2B"/>
          <w:sz w:val="22"/>
          <w:szCs w:val="22"/>
        </w:rPr>
        <w:t xml:space="preserve">Core — from the mark</w:t>
      </w:r>
    </w:p>
    <w:tbl>
      <w:tblPr>
        <w:tblW w:type="pct" w:w="100%"/>
        <w:tblBorders>
          <w:top w:val="single" w:color="D8D4CD" w:sz="2"/>
          <w:left w:val="none"/>
          <w:bottom w:val="single" w:color="D8D4CD" w:sz="2"/>
          <w:right w:val="none"/>
          <w:insideH w:val="single" w:color="D8D4CD" w:sz="2"/>
          <w:insideV w:val="none"/>
        </w:tblBorders>
      </w:tblPr>
      <w:tblGrid>
        <w:gridCol w:w="1500"/>
        <w:gridCol w:w="1900"/>
        <w:gridCol w:w="1500"/>
        <w:gridCol w:w="4460"/>
      </w:tblGrid>
      <w:tr>
        <w:trPr>
          <w:tblHeader/>
        </w:trPr>
        <w:tc>
          <w:tcPr>
            <w:tcW w:type="dxa" w:w="15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SWATCH</w:t>
            </w:r>
          </w:p>
        </w:tc>
        <w:tc>
          <w:tcPr>
            <w:tcW w:type="dxa" w:w="19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NAME</w:t>
            </w:r>
          </w:p>
        </w:tc>
        <w:tc>
          <w:tcPr>
            <w:tcW w:type="dxa" w:w="15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HEX</w:t>
            </w:r>
          </w:p>
        </w:tc>
        <w:tc>
          <w:tcPr>
            <w:tcW w:type="dxa" w:w="446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ROLE</w:t>
            </w:r>
          </w:p>
        </w:tc>
      </w:tr>
      <w:tr>
        <w:tc>
          <w:tcPr>
            <w:tcW w:type="dxa" w:w="1500"/>
            <w:shd w:fill="2A2A2B" w:val="clear"/>
            <w:tcMar>
              <w:top w:type="dxa" w:w="200"/>
              <w:left w:type="dxa" w:w="140"/>
              <w:bottom w:type="dxa" w:w="200"/>
              <w:right w:type="dxa" w:w="140"/>
            </w:tcMar>
          </w:tcPr>
          <w:p>
            <w:r>
              <w:t xml:space="preserve"/>
            </w:r>
          </w:p>
        </w:tc>
        <w:tc>
          <w:tcPr>
            <w:tcW w:type="dxa" w:w="1900"/>
            <w:tcMar>
              <w:top w:type="dxa" w:w="120"/>
              <w:left w:type="dxa" w:w="140"/>
              <w:bottom w:type="dxa" w:w="120"/>
              <w:right w:type="dxa" w:w="140"/>
            </w:tcMar>
          </w:tcPr>
          <w:p>
            <w:r>
              <w:rPr>
                <w:rFonts w:ascii="Arial" w:cs="Arial" w:eastAsia="Arial" w:hAnsi="Arial"/>
                <w:b/>
                <w:bCs/>
                <w:color w:val="2A2A2B"/>
                <w:sz w:val="18"/>
                <w:szCs w:val="18"/>
              </w:rPr>
              <w:t xml:space="preserve">Reticle Black</w:t>
            </w:r>
          </w:p>
        </w:tc>
        <w:tc>
          <w:tcPr>
            <w:tcW w:type="dxa" w:w="1500"/>
            <w:tcMar>
              <w:top w:type="dxa" w:w="120"/>
              <w:left w:type="dxa" w:w="140"/>
              <w:bottom w:type="dxa" w:w="120"/>
              <w:right w:type="dxa" w:w="140"/>
            </w:tcMar>
          </w:tcPr>
          <w:p>
            <w:r>
              <w:rPr>
                <w:rFonts w:ascii="Courier New" w:cs="Courier New" w:eastAsia="Courier New" w:hAnsi="Courier New"/>
                <w:color w:val="5F6469"/>
                <w:sz w:val="17"/>
                <w:szCs w:val="17"/>
              </w:rPr>
              <w:t xml:space="preserve">#2A2A2B</w:t>
            </w:r>
          </w:p>
        </w:tc>
        <w:tc>
          <w:tcPr>
            <w:tcW w:type="dxa" w:w="4460"/>
            <w:tcMar>
              <w:top w:type="dxa" w:w="120"/>
              <w:left w:type="dxa" w:w="140"/>
              <w:bottom w:type="dxa" w:w="120"/>
              <w:right w:type="dxa" w:w="140"/>
            </w:tcMar>
          </w:tcPr>
          <w:p>
            <w:pPr>
              <w:spacing w:line="264"/>
            </w:pPr>
            <w:r>
              <w:rPr>
                <w:rFonts w:ascii="Arial" w:cs="Arial" w:eastAsia="Arial" w:hAnsi="Arial"/>
                <w:color w:val="5F6469"/>
                <w:sz w:val="18"/>
                <w:szCs w:val="18"/>
              </w:rPr>
              <w:t xml:space="preserve">Primary type and the mark’s tick elements. Warm near-black — never pure #000000, which reads cold and tactical.</w:t>
            </w:r>
          </w:p>
        </w:tc>
      </w:tr>
      <w:tr>
        <w:tc>
          <w:tcPr>
            <w:tcW w:type="dxa" w:w="1500"/>
            <w:shd w:fill="727377" w:val="clear"/>
            <w:tcMar>
              <w:top w:type="dxa" w:w="200"/>
              <w:left w:type="dxa" w:w="140"/>
              <w:bottom w:type="dxa" w:w="200"/>
              <w:right w:type="dxa" w:w="140"/>
            </w:tcMar>
          </w:tcPr>
          <w:p>
            <w:r>
              <w:t xml:space="preserve"/>
            </w:r>
          </w:p>
        </w:tc>
        <w:tc>
          <w:tcPr>
            <w:tcW w:type="dxa" w:w="1900"/>
            <w:tcMar>
              <w:top w:type="dxa" w:w="120"/>
              <w:left w:type="dxa" w:w="140"/>
              <w:bottom w:type="dxa" w:w="120"/>
              <w:right w:type="dxa" w:w="140"/>
            </w:tcMar>
          </w:tcPr>
          <w:p>
            <w:r>
              <w:rPr>
                <w:rFonts w:ascii="Arial" w:cs="Arial" w:eastAsia="Arial" w:hAnsi="Arial"/>
                <w:b/>
                <w:bCs/>
                <w:color w:val="2A2A2B"/>
                <w:sz w:val="18"/>
                <w:szCs w:val="18"/>
              </w:rPr>
              <w:t xml:space="preserve">Sight Grey</w:t>
            </w:r>
          </w:p>
        </w:tc>
        <w:tc>
          <w:tcPr>
            <w:tcW w:type="dxa" w:w="1500"/>
            <w:tcMar>
              <w:top w:type="dxa" w:w="120"/>
              <w:left w:type="dxa" w:w="140"/>
              <w:bottom w:type="dxa" w:w="120"/>
              <w:right w:type="dxa" w:w="140"/>
            </w:tcMar>
          </w:tcPr>
          <w:p>
            <w:r>
              <w:rPr>
                <w:rFonts w:ascii="Courier New" w:cs="Courier New" w:eastAsia="Courier New" w:hAnsi="Courier New"/>
                <w:color w:val="5F6469"/>
                <w:sz w:val="17"/>
                <w:szCs w:val="17"/>
              </w:rPr>
              <w:t xml:space="preserve">#727377</w:t>
            </w:r>
          </w:p>
        </w:tc>
        <w:tc>
          <w:tcPr>
            <w:tcW w:type="dxa" w:w="4460"/>
            <w:tcMar>
              <w:top w:type="dxa" w:w="120"/>
              <w:left w:type="dxa" w:w="140"/>
              <w:bottom w:type="dxa" w:w="120"/>
              <w:right w:type="dxa" w:w="140"/>
            </w:tcMar>
          </w:tcPr>
          <w:p>
            <w:pPr>
              <w:spacing w:line="264"/>
            </w:pPr>
            <w:r>
              <w:rPr>
                <w:rFonts w:ascii="Arial" w:cs="Arial" w:eastAsia="Arial" w:hAnsi="Arial"/>
                <w:color w:val="5F6469"/>
                <w:sz w:val="18"/>
                <w:szCs w:val="18"/>
              </w:rPr>
              <w:t xml:space="preserve">The reticle ring and wordmark grey. A genuine brand colour, not a neutral — secondary type, rules, quiet UI.</w:t>
            </w:r>
          </w:p>
        </w:tc>
      </w:tr>
      <w:tr>
        <w:tc>
          <w:tcPr>
            <w:tcW w:type="dxa" w:w="1500"/>
            <w:shd w:fill="ED3036" w:val="clear"/>
            <w:tcMar>
              <w:top w:type="dxa" w:w="200"/>
              <w:left w:type="dxa" w:w="140"/>
              <w:bottom w:type="dxa" w:w="200"/>
              <w:right w:type="dxa" w:w="140"/>
            </w:tcMar>
          </w:tcPr>
          <w:p>
            <w:r>
              <w:t xml:space="preserve"/>
            </w:r>
          </w:p>
        </w:tc>
        <w:tc>
          <w:tcPr>
            <w:tcW w:type="dxa" w:w="1900"/>
            <w:tcMar>
              <w:top w:type="dxa" w:w="120"/>
              <w:left w:type="dxa" w:w="140"/>
              <w:bottom w:type="dxa" w:w="120"/>
              <w:right w:type="dxa" w:w="140"/>
            </w:tcMar>
          </w:tcPr>
          <w:p>
            <w:r>
              <w:rPr>
                <w:rFonts w:ascii="Arial" w:cs="Arial" w:eastAsia="Arial" w:hAnsi="Arial"/>
                <w:b/>
                <w:bCs/>
                <w:color w:val="2A2A2B"/>
                <w:sz w:val="18"/>
                <w:szCs w:val="18"/>
              </w:rPr>
              <w:t xml:space="preserve">Ten Ring Red</w:t>
            </w:r>
          </w:p>
        </w:tc>
        <w:tc>
          <w:tcPr>
            <w:tcW w:type="dxa" w:w="1500"/>
            <w:tcMar>
              <w:top w:type="dxa" w:w="120"/>
              <w:left w:type="dxa" w:w="140"/>
              <w:bottom w:type="dxa" w:w="120"/>
              <w:right w:type="dxa" w:w="140"/>
            </w:tcMar>
          </w:tcPr>
          <w:p>
            <w:r>
              <w:rPr>
                <w:rFonts w:ascii="Courier New" w:cs="Courier New" w:eastAsia="Courier New" w:hAnsi="Courier New"/>
                <w:color w:val="5F6469"/>
                <w:sz w:val="17"/>
                <w:szCs w:val="17"/>
              </w:rPr>
              <w:t xml:space="preserve">#ED3036</w:t>
            </w:r>
          </w:p>
        </w:tc>
        <w:tc>
          <w:tcPr>
            <w:tcW w:type="dxa" w:w="4460"/>
            <w:tcMar>
              <w:top w:type="dxa" w:w="120"/>
              <w:left w:type="dxa" w:w="140"/>
              <w:bottom w:type="dxa" w:w="120"/>
              <w:right w:type="dxa" w:w="140"/>
            </w:tcMar>
          </w:tcPr>
          <w:p>
            <w:pPr>
              <w:spacing w:line="264"/>
            </w:pPr>
            <w:r>
              <w:rPr>
                <w:rFonts w:ascii="Arial" w:cs="Arial" w:eastAsia="Arial" w:hAnsi="Arial"/>
                <w:color w:val="5F6469"/>
                <w:sz w:val="18"/>
                <w:szCs w:val="18"/>
              </w:rPr>
              <w:t xml:space="preserve">Accent only. The centre dot, primary calls to action, key indicators. Named for the centre of a target, not for danger.</w:t>
            </w:r>
          </w:p>
        </w:tc>
      </w:tr>
      <w:tr>
        <w:tc>
          <w:tcPr>
            <w:tcW w:type="dxa" w:w="1500"/>
            <w:shd w:fill="F6F5F2" w:val="clear"/>
            <w:tcMar>
              <w:top w:type="dxa" w:w="200"/>
              <w:left w:type="dxa" w:w="140"/>
              <w:bottom w:type="dxa" w:w="200"/>
              <w:right w:type="dxa" w:w="140"/>
            </w:tcMar>
          </w:tcPr>
          <w:p>
            <w:r>
              <w:t xml:space="preserve"/>
            </w:r>
          </w:p>
        </w:tc>
        <w:tc>
          <w:tcPr>
            <w:tcW w:type="dxa" w:w="1900"/>
            <w:tcMar>
              <w:top w:type="dxa" w:w="120"/>
              <w:left w:type="dxa" w:w="140"/>
              <w:bottom w:type="dxa" w:w="120"/>
              <w:right w:type="dxa" w:w="140"/>
            </w:tcMar>
          </w:tcPr>
          <w:p>
            <w:r>
              <w:rPr>
                <w:rFonts w:ascii="Arial" w:cs="Arial" w:eastAsia="Arial" w:hAnsi="Arial"/>
                <w:b/>
                <w:bCs/>
                <w:color w:val="2A2A2B"/>
                <w:sz w:val="18"/>
                <w:szCs w:val="18"/>
              </w:rPr>
              <w:t xml:space="preserve">Chalk</w:t>
            </w:r>
          </w:p>
        </w:tc>
        <w:tc>
          <w:tcPr>
            <w:tcW w:type="dxa" w:w="1500"/>
            <w:tcMar>
              <w:top w:type="dxa" w:w="120"/>
              <w:left w:type="dxa" w:w="140"/>
              <w:bottom w:type="dxa" w:w="120"/>
              <w:right w:type="dxa" w:w="140"/>
            </w:tcMar>
          </w:tcPr>
          <w:p>
            <w:r>
              <w:rPr>
                <w:rFonts w:ascii="Courier New" w:cs="Courier New" w:eastAsia="Courier New" w:hAnsi="Courier New"/>
                <w:color w:val="5F6469"/>
                <w:sz w:val="17"/>
                <w:szCs w:val="17"/>
              </w:rPr>
              <w:t xml:space="preserve">#F6F5F2</w:t>
            </w:r>
          </w:p>
        </w:tc>
        <w:tc>
          <w:tcPr>
            <w:tcW w:type="dxa" w:w="4460"/>
            <w:tcMar>
              <w:top w:type="dxa" w:w="120"/>
              <w:left w:type="dxa" w:w="140"/>
              <w:bottom w:type="dxa" w:w="120"/>
              <w:right w:type="dxa" w:w="140"/>
            </w:tcMar>
          </w:tcPr>
          <w:p>
            <w:pPr>
              <w:spacing w:line="264"/>
            </w:pPr>
            <w:r>
              <w:rPr>
                <w:rFonts w:ascii="Arial" w:cs="Arial" w:eastAsia="Arial" w:hAnsi="Arial"/>
                <w:color w:val="5F6469"/>
                <w:sz w:val="18"/>
                <w:szCs w:val="18"/>
              </w:rPr>
              <w:t xml:space="preserve">Primary ground. The white render of the buildings. Default website background.</w:t>
            </w:r>
          </w:p>
        </w:tc>
      </w:tr>
    </w:tbl>
    <w:p>
      <w:pPr>
        <w:spacing w:after="90" w:before="220"/>
      </w:pPr>
      <w:r>
        <w:rPr>
          <w:rFonts w:ascii="Arial" w:cs="Arial" w:eastAsia="Arial" w:hAnsi="Arial"/>
          <w:b/>
          <w:bCs/>
          <w:color w:val="2A2A2B"/>
          <w:sz w:val="22"/>
          <w:szCs w:val="22"/>
        </w:rPr>
        <w:t xml:space="preserve">Material — from the architecture</w:t>
      </w:r>
    </w:p>
    <w:tbl>
      <w:tblPr>
        <w:tblW w:type="pct" w:w="100%"/>
        <w:tblBorders>
          <w:top w:val="single" w:color="D8D4CD" w:sz="2"/>
          <w:left w:val="none"/>
          <w:bottom w:val="single" w:color="D8D4CD" w:sz="2"/>
          <w:right w:val="none"/>
          <w:insideH w:val="single" w:color="D8D4CD" w:sz="2"/>
          <w:insideV w:val="none"/>
        </w:tblBorders>
      </w:tblPr>
      <w:tblGrid>
        <w:gridCol w:w="1500"/>
        <w:gridCol w:w="1900"/>
        <w:gridCol w:w="1500"/>
        <w:gridCol w:w="4460"/>
      </w:tblGrid>
      <w:tr>
        <w:trPr>
          <w:tblHeader/>
        </w:trPr>
        <w:tc>
          <w:tcPr>
            <w:tcW w:type="dxa" w:w="15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SWATCH</w:t>
            </w:r>
          </w:p>
        </w:tc>
        <w:tc>
          <w:tcPr>
            <w:tcW w:type="dxa" w:w="19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NAME</w:t>
            </w:r>
          </w:p>
        </w:tc>
        <w:tc>
          <w:tcPr>
            <w:tcW w:type="dxa" w:w="15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HEX</w:t>
            </w:r>
          </w:p>
        </w:tc>
        <w:tc>
          <w:tcPr>
            <w:tcW w:type="dxa" w:w="446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ROLE</w:t>
            </w:r>
          </w:p>
        </w:tc>
      </w:tr>
      <w:tr>
        <w:tc>
          <w:tcPr>
            <w:tcW w:type="dxa" w:w="1500"/>
            <w:shd w:fill="DCD8D1" w:val="clear"/>
            <w:tcMar>
              <w:top w:type="dxa" w:w="200"/>
              <w:left w:type="dxa" w:w="140"/>
              <w:bottom w:type="dxa" w:w="200"/>
              <w:right w:type="dxa" w:w="140"/>
            </w:tcMar>
          </w:tcPr>
          <w:p>
            <w:r>
              <w:t xml:space="preserve"/>
            </w:r>
          </w:p>
        </w:tc>
        <w:tc>
          <w:tcPr>
            <w:tcW w:type="dxa" w:w="1900"/>
            <w:tcMar>
              <w:top w:type="dxa" w:w="120"/>
              <w:left w:type="dxa" w:w="140"/>
              <w:bottom w:type="dxa" w:w="120"/>
              <w:right w:type="dxa" w:w="140"/>
            </w:tcMar>
          </w:tcPr>
          <w:p>
            <w:r>
              <w:rPr>
                <w:rFonts w:ascii="Arial" w:cs="Arial" w:eastAsia="Arial" w:hAnsi="Arial"/>
                <w:b/>
                <w:bCs/>
                <w:color w:val="2A2A2B"/>
                <w:sz w:val="18"/>
                <w:szCs w:val="18"/>
              </w:rPr>
              <w:t xml:space="preserve">Terrazzo</w:t>
            </w:r>
          </w:p>
        </w:tc>
        <w:tc>
          <w:tcPr>
            <w:tcW w:type="dxa" w:w="1500"/>
            <w:tcMar>
              <w:top w:type="dxa" w:w="120"/>
              <w:left w:type="dxa" w:w="140"/>
              <w:bottom w:type="dxa" w:w="120"/>
              <w:right w:type="dxa" w:w="140"/>
            </w:tcMar>
          </w:tcPr>
          <w:p>
            <w:r>
              <w:rPr>
                <w:rFonts w:ascii="Courier New" w:cs="Courier New" w:eastAsia="Courier New" w:hAnsi="Courier New"/>
                <w:color w:val="5F6469"/>
                <w:sz w:val="17"/>
                <w:szCs w:val="17"/>
              </w:rPr>
              <w:t xml:space="preserve">#DCD8D1</w:t>
            </w:r>
          </w:p>
        </w:tc>
        <w:tc>
          <w:tcPr>
            <w:tcW w:type="dxa" w:w="4460"/>
            <w:tcMar>
              <w:top w:type="dxa" w:w="120"/>
              <w:left w:type="dxa" w:w="140"/>
              <w:bottom w:type="dxa" w:w="120"/>
              <w:right w:type="dxa" w:w="140"/>
            </w:tcMar>
          </w:tcPr>
          <w:p>
            <w:pPr>
              <w:spacing w:line="264"/>
            </w:pPr>
            <w:r>
              <w:rPr>
                <w:rFonts w:ascii="Arial" w:cs="Arial" w:eastAsia="Arial" w:hAnsi="Arial"/>
                <w:color w:val="5F6469"/>
                <w:sz w:val="18"/>
                <w:szCs w:val="18"/>
              </w:rPr>
              <w:t xml:space="preserve">The signature surface of the building — floors throughout, reception desk, bar counters. Section grounds, cards, quiet panels.</w:t>
            </w:r>
          </w:p>
        </w:tc>
      </w:tr>
      <w:tr>
        <w:tc>
          <w:tcPr>
            <w:tcW w:type="dxa" w:w="1500"/>
            <w:shd w:fill="8A5A2E" w:val="clear"/>
            <w:tcMar>
              <w:top w:type="dxa" w:w="200"/>
              <w:left w:type="dxa" w:w="140"/>
              <w:bottom w:type="dxa" w:w="200"/>
              <w:right w:type="dxa" w:w="140"/>
            </w:tcMar>
          </w:tcPr>
          <w:p>
            <w:r>
              <w:t xml:space="preserve"/>
            </w:r>
          </w:p>
        </w:tc>
        <w:tc>
          <w:tcPr>
            <w:tcW w:type="dxa" w:w="1900"/>
            <w:tcMar>
              <w:top w:type="dxa" w:w="120"/>
              <w:left w:type="dxa" w:w="140"/>
              <w:bottom w:type="dxa" w:w="120"/>
              <w:right w:type="dxa" w:w="140"/>
            </w:tcMar>
          </w:tcPr>
          <w:p>
            <w:r>
              <w:rPr>
                <w:rFonts w:ascii="Arial" w:cs="Arial" w:eastAsia="Arial" w:hAnsi="Arial"/>
                <w:b/>
                <w:bCs/>
                <w:color w:val="2A2A2B"/>
                <w:sz w:val="18"/>
                <w:szCs w:val="18"/>
              </w:rPr>
              <w:t xml:space="preserve">Range Teak</w:t>
            </w:r>
          </w:p>
        </w:tc>
        <w:tc>
          <w:tcPr>
            <w:tcW w:type="dxa" w:w="1500"/>
            <w:tcMar>
              <w:top w:type="dxa" w:w="120"/>
              <w:left w:type="dxa" w:w="140"/>
              <w:bottom w:type="dxa" w:w="120"/>
              <w:right w:type="dxa" w:w="140"/>
            </w:tcMar>
          </w:tcPr>
          <w:p>
            <w:r>
              <w:rPr>
                <w:rFonts w:ascii="Courier New" w:cs="Courier New" w:eastAsia="Courier New" w:hAnsi="Courier New"/>
                <w:color w:val="5F6469"/>
                <w:sz w:val="17"/>
                <w:szCs w:val="17"/>
              </w:rPr>
              <w:t xml:space="preserve">#8A5A2E</w:t>
            </w:r>
          </w:p>
        </w:tc>
        <w:tc>
          <w:tcPr>
            <w:tcW w:type="dxa" w:w="4460"/>
            <w:tcMar>
              <w:top w:type="dxa" w:w="120"/>
              <w:left w:type="dxa" w:w="140"/>
              <w:bottom w:type="dxa" w:w="120"/>
              <w:right w:type="dxa" w:w="140"/>
            </w:tcMar>
          </w:tcPr>
          <w:p>
            <w:pPr>
              <w:spacing w:line="264"/>
            </w:pPr>
            <w:r>
              <w:rPr>
                <w:rFonts w:ascii="Arial" w:cs="Arial" w:eastAsia="Arial" w:hAnsi="Arial"/>
                <w:color w:val="5F6469"/>
                <w:sz w:val="18"/>
                <w:szCs w:val="18"/>
              </w:rPr>
              <w:t xml:space="preserve">Firing-line counters, screens, lattice. The primary warm tone and the strongest anti-tactical signal available.</w:t>
            </w:r>
          </w:p>
        </w:tc>
      </w:tr>
      <w:tr>
        <w:tc>
          <w:tcPr>
            <w:tcW w:type="dxa" w:w="1500"/>
            <w:shd w:fill="C29A63" w:val="clear"/>
            <w:tcMar>
              <w:top w:type="dxa" w:w="200"/>
              <w:left w:type="dxa" w:w="140"/>
              <w:bottom w:type="dxa" w:w="200"/>
              <w:right w:type="dxa" w:w="140"/>
            </w:tcMar>
          </w:tcPr>
          <w:p>
            <w:r>
              <w:t xml:space="preserve"/>
            </w:r>
          </w:p>
        </w:tc>
        <w:tc>
          <w:tcPr>
            <w:tcW w:type="dxa" w:w="1900"/>
            <w:tcMar>
              <w:top w:type="dxa" w:w="120"/>
              <w:left w:type="dxa" w:w="140"/>
              <w:bottom w:type="dxa" w:w="120"/>
              <w:right w:type="dxa" w:w="140"/>
            </w:tcMar>
          </w:tcPr>
          <w:p>
            <w:r>
              <w:rPr>
                <w:rFonts w:ascii="Arial" w:cs="Arial" w:eastAsia="Arial" w:hAnsi="Arial"/>
                <w:b/>
                <w:bCs/>
                <w:color w:val="2A2A2B"/>
                <w:sz w:val="18"/>
                <w:szCs w:val="18"/>
              </w:rPr>
              <w:t xml:space="preserve">Deck Oak</w:t>
            </w:r>
          </w:p>
        </w:tc>
        <w:tc>
          <w:tcPr>
            <w:tcW w:type="dxa" w:w="1500"/>
            <w:tcMar>
              <w:top w:type="dxa" w:w="120"/>
              <w:left w:type="dxa" w:w="140"/>
              <w:bottom w:type="dxa" w:w="120"/>
              <w:right w:type="dxa" w:w="140"/>
            </w:tcMar>
          </w:tcPr>
          <w:p>
            <w:r>
              <w:rPr>
                <w:rFonts w:ascii="Courier New" w:cs="Courier New" w:eastAsia="Courier New" w:hAnsi="Courier New"/>
                <w:color w:val="5F6469"/>
                <w:sz w:val="17"/>
                <w:szCs w:val="17"/>
              </w:rPr>
              <w:t xml:space="preserve">#C29A63</w:t>
            </w:r>
          </w:p>
        </w:tc>
        <w:tc>
          <w:tcPr>
            <w:tcW w:type="dxa" w:w="4460"/>
            <w:tcMar>
              <w:top w:type="dxa" w:w="120"/>
              <w:left w:type="dxa" w:w="140"/>
              <w:bottom w:type="dxa" w:w="120"/>
              <w:right w:type="dxa" w:w="140"/>
            </w:tcMar>
          </w:tcPr>
          <w:p>
            <w:pPr>
              <w:spacing w:line="264"/>
            </w:pPr>
            <w:r>
              <w:rPr>
                <w:rFonts w:ascii="Arial" w:cs="Arial" w:eastAsia="Arial" w:hAnsi="Arial"/>
                <w:color w:val="5F6469"/>
                <w:sz w:val="18"/>
                <w:szCs w:val="18"/>
              </w:rPr>
              <w:t xml:space="preserve">Deck boards. Lighter, sunlit warmth — hospitality and events contexts.</w:t>
            </w:r>
          </w:p>
        </w:tc>
      </w:tr>
      <w:tr>
        <w:tc>
          <w:tcPr>
            <w:tcW w:type="dxa" w:w="1500"/>
            <w:shd w:fill="262523" w:val="clear"/>
            <w:tcMar>
              <w:top w:type="dxa" w:w="200"/>
              <w:left w:type="dxa" w:w="140"/>
              <w:bottom w:type="dxa" w:w="200"/>
              <w:right w:type="dxa" w:w="140"/>
            </w:tcMar>
          </w:tcPr>
          <w:p>
            <w:r>
              <w:t xml:space="preserve"/>
            </w:r>
          </w:p>
        </w:tc>
        <w:tc>
          <w:tcPr>
            <w:tcW w:type="dxa" w:w="1900"/>
            <w:tcMar>
              <w:top w:type="dxa" w:w="120"/>
              <w:left w:type="dxa" w:w="140"/>
              <w:bottom w:type="dxa" w:w="120"/>
              <w:right w:type="dxa" w:w="140"/>
            </w:tcMar>
          </w:tcPr>
          <w:p>
            <w:r>
              <w:rPr>
                <w:rFonts w:ascii="Arial" w:cs="Arial" w:eastAsia="Arial" w:hAnsi="Arial"/>
                <w:b/>
                <w:bCs/>
                <w:color w:val="2A2A2B"/>
                <w:sz w:val="18"/>
                <w:szCs w:val="18"/>
              </w:rPr>
              <w:t xml:space="preserve">Charred Timber</w:t>
            </w:r>
          </w:p>
        </w:tc>
        <w:tc>
          <w:tcPr>
            <w:tcW w:type="dxa" w:w="1500"/>
            <w:tcMar>
              <w:top w:type="dxa" w:w="120"/>
              <w:left w:type="dxa" w:w="140"/>
              <w:bottom w:type="dxa" w:w="120"/>
              <w:right w:type="dxa" w:w="140"/>
            </w:tcMar>
          </w:tcPr>
          <w:p>
            <w:r>
              <w:rPr>
                <w:rFonts w:ascii="Courier New" w:cs="Courier New" w:eastAsia="Courier New" w:hAnsi="Courier New"/>
                <w:color w:val="5F6469"/>
                <w:sz w:val="17"/>
                <w:szCs w:val="17"/>
              </w:rPr>
              <w:t xml:space="preserve">#262523</w:t>
            </w:r>
          </w:p>
        </w:tc>
        <w:tc>
          <w:tcPr>
            <w:tcW w:type="dxa" w:w="4460"/>
            <w:tcMar>
              <w:top w:type="dxa" w:w="120"/>
              <w:left w:type="dxa" w:w="140"/>
              <w:bottom w:type="dxa" w:w="120"/>
              <w:right w:type="dxa" w:w="140"/>
            </w:tcMar>
          </w:tcPr>
          <w:p>
            <w:pPr>
              <w:spacing w:line="264"/>
            </w:pPr>
            <w:r>
              <w:rPr>
                <w:rFonts w:ascii="Arial" w:cs="Arial" w:eastAsia="Arial" w:hAnsi="Arial"/>
                <w:color w:val="5F6469"/>
                <w:sz w:val="18"/>
                <w:szCs w:val="18"/>
              </w:rPr>
              <w:t xml:space="preserve">The dark ribbed cladding of the service building. Dark sections, footers, night-register layouts.</w:t>
            </w:r>
          </w:p>
        </w:tc>
      </w:tr>
      <w:tr>
        <w:tc>
          <w:tcPr>
            <w:tcW w:type="dxa" w:w="1500"/>
            <w:shd w:fill="9A9188" w:val="clear"/>
            <w:tcMar>
              <w:top w:type="dxa" w:w="200"/>
              <w:left w:type="dxa" w:w="140"/>
              <w:bottom w:type="dxa" w:w="200"/>
              <w:right w:type="dxa" w:w="140"/>
            </w:tcMar>
          </w:tcPr>
          <w:p>
            <w:r>
              <w:t xml:space="preserve"/>
            </w:r>
          </w:p>
        </w:tc>
        <w:tc>
          <w:tcPr>
            <w:tcW w:type="dxa" w:w="1900"/>
            <w:tcMar>
              <w:top w:type="dxa" w:w="120"/>
              <w:left w:type="dxa" w:w="140"/>
              <w:bottom w:type="dxa" w:w="120"/>
              <w:right w:type="dxa" w:w="140"/>
            </w:tcMar>
          </w:tcPr>
          <w:p>
            <w:r>
              <w:rPr>
                <w:rFonts w:ascii="Arial" w:cs="Arial" w:eastAsia="Arial" w:hAnsi="Arial"/>
                <w:b/>
                <w:bCs/>
                <w:color w:val="2A2A2B"/>
                <w:sz w:val="18"/>
                <w:szCs w:val="18"/>
              </w:rPr>
              <w:t xml:space="preserve">Gabion Stone</w:t>
            </w:r>
          </w:p>
        </w:tc>
        <w:tc>
          <w:tcPr>
            <w:tcW w:type="dxa" w:w="1500"/>
            <w:tcMar>
              <w:top w:type="dxa" w:w="120"/>
              <w:left w:type="dxa" w:w="140"/>
              <w:bottom w:type="dxa" w:w="120"/>
              <w:right w:type="dxa" w:w="140"/>
            </w:tcMar>
          </w:tcPr>
          <w:p>
            <w:r>
              <w:rPr>
                <w:rFonts w:ascii="Courier New" w:cs="Courier New" w:eastAsia="Courier New" w:hAnsi="Courier New"/>
                <w:color w:val="5F6469"/>
                <w:sz w:val="17"/>
                <w:szCs w:val="17"/>
              </w:rPr>
              <w:t xml:space="preserve">#9A9188</w:t>
            </w:r>
          </w:p>
        </w:tc>
        <w:tc>
          <w:tcPr>
            <w:tcW w:type="dxa" w:w="4460"/>
            <w:tcMar>
              <w:top w:type="dxa" w:w="120"/>
              <w:left w:type="dxa" w:w="140"/>
              <w:bottom w:type="dxa" w:w="120"/>
              <w:right w:type="dxa" w:w="140"/>
            </w:tcMar>
          </w:tcPr>
          <w:p>
            <w:pPr>
              <w:spacing w:line="264"/>
            </w:pPr>
            <w:r>
              <w:rPr>
                <w:rFonts w:ascii="Arial" w:cs="Arial" w:eastAsia="Arial" w:hAnsi="Arial"/>
                <w:color w:val="5F6469"/>
                <w:sz w:val="18"/>
                <w:szCs w:val="18"/>
              </w:rPr>
              <w:t xml:space="preserve">Stone-cage cladding under the windows. Textural surfaces and photographic mid-tones.</w:t>
            </w:r>
          </w:p>
        </w:tc>
      </w:tr>
    </w:tbl>
    <w:p>
      <w:r>
        <w:br w:type="page"/>
      </w:r>
    </w:p>
    <w:p>
      <w:pPr>
        <w:spacing w:after="90" w:before="220"/>
      </w:pPr>
      <w:r>
        <w:rPr>
          <w:rFonts w:ascii="Arial" w:cs="Arial" w:eastAsia="Arial" w:hAnsi="Arial"/>
          <w:b/>
          <w:bCs/>
          <w:color w:val="2A2A2B"/>
          <w:sz w:val="22"/>
          <w:szCs w:val="22"/>
        </w:rPr>
        <w:t xml:space="preserve">Accent — the architect’s decision</w:t>
      </w:r>
    </w:p>
    <w:p>
      <w:pPr>
        <w:spacing w:after="130" w:line="288"/>
      </w:pPr>
      <w:r>
        <w:rPr>
          <w:rFonts w:ascii="Arial" w:cs="Arial" w:eastAsia="Arial" w:hAnsi="Arial"/>
          <w:color w:val="2A2A2B"/>
          <w:sz w:val="19"/>
          <w:szCs w:val="19"/>
        </w:rPr>
        <w:t xml:space="preserve">The pale blue soffits and the blue and teal deck furniture are the most deliberately un-tactical choices in the entire project. </w:t>
      </w:r>
      <w:r>
        <w:rPr>
          <w:rFonts w:ascii="Arial" w:cs="Arial" w:eastAsia="Arial" w:hAnsi="Arial"/>
          <w:b/>
          <w:bCs/>
          <w:color w:val="2A2A2B"/>
          <w:sz w:val="19"/>
          <w:szCs w:val="19"/>
        </w:rPr>
        <w:t xml:space="preserve">Adopt them rather than ignore them. </w:t>
      </w:r>
      <w:r>
        <w:rPr>
          <w:rFonts w:ascii="Arial" w:cs="Arial" w:eastAsia="Arial" w:hAnsi="Arial"/>
          <w:color w:val="2A2A2B"/>
          <w:sz w:val="19"/>
          <w:szCs w:val="19"/>
        </w:rPr>
        <w:t xml:space="preserve">They are what makes this brand impossible to mistake for a defence supplier.</w:t>
      </w:r>
    </w:p>
    <w:tbl>
      <w:tblPr>
        <w:tblW w:type="pct" w:w="100%"/>
        <w:tblBorders>
          <w:top w:val="single" w:color="D8D4CD" w:sz="2"/>
          <w:left w:val="none"/>
          <w:bottom w:val="single" w:color="D8D4CD" w:sz="2"/>
          <w:right w:val="none"/>
          <w:insideH w:val="single" w:color="D8D4CD" w:sz="2"/>
          <w:insideV w:val="none"/>
        </w:tblBorders>
      </w:tblPr>
      <w:tblGrid>
        <w:gridCol w:w="1500"/>
        <w:gridCol w:w="1900"/>
        <w:gridCol w:w="1500"/>
        <w:gridCol w:w="4460"/>
      </w:tblGrid>
      <w:tr>
        <w:trPr>
          <w:tblHeader/>
        </w:trPr>
        <w:tc>
          <w:tcPr>
            <w:tcW w:type="dxa" w:w="15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SWATCH</w:t>
            </w:r>
          </w:p>
        </w:tc>
        <w:tc>
          <w:tcPr>
            <w:tcW w:type="dxa" w:w="19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NAME</w:t>
            </w:r>
          </w:p>
        </w:tc>
        <w:tc>
          <w:tcPr>
            <w:tcW w:type="dxa" w:w="15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HEX</w:t>
            </w:r>
          </w:p>
        </w:tc>
        <w:tc>
          <w:tcPr>
            <w:tcW w:type="dxa" w:w="446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ROLE</w:t>
            </w:r>
          </w:p>
        </w:tc>
      </w:tr>
      <w:tr>
        <w:tc>
          <w:tcPr>
            <w:tcW w:type="dxa" w:w="1500"/>
            <w:shd w:fill="8FA6B2" w:val="clear"/>
            <w:tcMar>
              <w:top w:type="dxa" w:w="200"/>
              <w:left w:type="dxa" w:w="140"/>
              <w:bottom w:type="dxa" w:w="200"/>
              <w:right w:type="dxa" w:w="140"/>
            </w:tcMar>
          </w:tcPr>
          <w:p>
            <w:r>
              <w:t xml:space="preserve"/>
            </w:r>
          </w:p>
        </w:tc>
        <w:tc>
          <w:tcPr>
            <w:tcW w:type="dxa" w:w="1900"/>
            <w:tcMar>
              <w:top w:type="dxa" w:w="120"/>
              <w:left w:type="dxa" w:w="140"/>
              <w:bottom w:type="dxa" w:w="120"/>
              <w:right w:type="dxa" w:w="140"/>
            </w:tcMar>
          </w:tcPr>
          <w:p>
            <w:r>
              <w:rPr>
                <w:rFonts w:ascii="Arial" w:cs="Arial" w:eastAsia="Arial" w:hAnsi="Arial"/>
                <w:b/>
                <w:bCs/>
                <w:color w:val="2A2A2B"/>
                <w:sz w:val="18"/>
                <w:szCs w:val="18"/>
              </w:rPr>
              <w:t xml:space="preserve">Soffit Blue</w:t>
            </w:r>
          </w:p>
        </w:tc>
        <w:tc>
          <w:tcPr>
            <w:tcW w:type="dxa" w:w="1500"/>
            <w:tcMar>
              <w:top w:type="dxa" w:w="120"/>
              <w:left w:type="dxa" w:w="140"/>
              <w:bottom w:type="dxa" w:w="120"/>
              <w:right w:type="dxa" w:w="140"/>
            </w:tcMar>
          </w:tcPr>
          <w:p>
            <w:r>
              <w:rPr>
                <w:rFonts w:ascii="Courier New" w:cs="Courier New" w:eastAsia="Courier New" w:hAnsi="Courier New"/>
                <w:color w:val="5F6469"/>
                <w:sz w:val="17"/>
                <w:szCs w:val="17"/>
              </w:rPr>
              <w:t xml:space="preserve">#8FA6B2</w:t>
            </w:r>
          </w:p>
        </w:tc>
        <w:tc>
          <w:tcPr>
            <w:tcW w:type="dxa" w:w="4460"/>
            <w:tcMar>
              <w:top w:type="dxa" w:w="120"/>
              <w:left w:type="dxa" w:w="140"/>
              <w:bottom w:type="dxa" w:w="120"/>
              <w:right w:type="dxa" w:w="140"/>
            </w:tcMar>
          </w:tcPr>
          <w:p>
            <w:pPr>
              <w:spacing w:line="264"/>
            </w:pPr>
            <w:r>
              <w:rPr>
                <w:rFonts w:ascii="Arial" w:cs="Arial" w:eastAsia="Arial" w:hAnsi="Arial"/>
                <w:color w:val="5F6469"/>
                <w:sz w:val="18"/>
                <w:szCs w:val="18"/>
              </w:rPr>
              <w:t xml:space="preserve">Painted ceiling planes and public deck furniture. Calm, open, hospitable. Supporting surfaces, illustration, wayfinding, and the first-visit and hospitality contexts.</w:t>
            </w:r>
          </w:p>
        </w:tc>
      </w:tr>
      <w:tr>
        <w:tc>
          <w:tcPr>
            <w:tcW w:type="dxa" w:w="1500"/>
            <w:shd w:fill="2F6E78" w:val="clear"/>
            <w:tcMar>
              <w:top w:type="dxa" w:w="200"/>
              <w:left w:type="dxa" w:w="140"/>
              <w:bottom w:type="dxa" w:w="200"/>
              <w:right w:type="dxa" w:w="140"/>
            </w:tcMar>
          </w:tcPr>
          <w:p>
            <w:r>
              <w:t xml:space="preserve"/>
            </w:r>
          </w:p>
        </w:tc>
        <w:tc>
          <w:tcPr>
            <w:tcW w:type="dxa" w:w="1900"/>
            <w:tcMar>
              <w:top w:type="dxa" w:w="120"/>
              <w:left w:type="dxa" w:w="140"/>
              <w:bottom w:type="dxa" w:w="120"/>
              <w:right w:type="dxa" w:w="140"/>
            </w:tcMar>
          </w:tcPr>
          <w:p>
            <w:r>
              <w:rPr>
                <w:rFonts w:ascii="Arial" w:cs="Arial" w:eastAsia="Arial" w:hAnsi="Arial"/>
                <w:b/>
                <w:bCs/>
                <w:color w:val="2A2A2B"/>
                <w:sz w:val="18"/>
                <w:szCs w:val="18"/>
              </w:rPr>
              <w:t xml:space="preserve">VIP Teal</w:t>
            </w:r>
          </w:p>
        </w:tc>
        <w:tc>
          <w:tcPr>
            <w:tcW w:type="dxa" w:w="1500"/>
            <w:tcMar>
              <w:top w:type="dxa" w:w="120"/>
              <w:left w:type="dxa" w:w="140"/>
              <w:bottom w:type="dxa" w:w="120"/>
              <w:right w:type="dxa" w:w="140"/>
            </w:tcMar>
          </w:tcPr>
          <w:p>
            <w:r>
              <w:rPr>
                <w:rFonts w:ascii="Courier New" w:cs="Courier New" w:eastAsia="Courier New" w:hAnsi="Courier New"/>
                <w:color w:val="5F6469"/>
                <w:sz w:val="17"/>
                <w:szCs w:val="17"/>
              </w:rPr>
              <w:t xml:space="preserve">#2F6E78</w:t>
            </w:r>
          </w:p>
        </w:tc>
        <w:tc>
          <w:tcPr>
            <w:tcW w:type="dxa" w:w="4460"/>
            <w:tcMar>
              <w:top w:type="dxa" w:w="120"/>
              <w:left w:type="dxa" w:w="140"/>
              <w:bottom w:type="dxa" w:w="120"/>
              <w:right w:type="dxa" w:w="140"/>
            </w:tcMar>
          </w:tcPr>
          <w:p>
            <w:pPr>
              <w:spacing w:line="264"/>
            </w:pPr>
            <w:r>
              <w:rPr>
                <w:rFonts w:ascii="Arial" w:cs="Arial" w:eastAsia="Arial" w:hAnsi="Arial"/>
                <w:color w:val="5F6469"/>
                <w:sz w:val="18"/>
                <w:szCs w:val="18"/>
              </w:rPr>
              <w:t xml:space="preserve">The VIP deck furniture. Deeper and more private. Reserve for member and VIP contexts — it should feel earned.</w:t>
            </w:r>
          </w:p>
        </w:tc>
      </w:tr>
    </w:tbl>
    <w:p>
      <w:pPr>
        <w:spacing w:after="90" w:before="220"/>
      </w:pPr>
      <w:r>
        <w:rPr>
          <w:rFonts w:ascii="Arial" w:cs="Arial" w:eastAsia="Arial" w:hAnsi="Arial"/>
          <w:b/>
          <w:bCs/>
          <w:color w:val="2A2A2B"/>
          <w:sz w:val="22"/>
          <w:szCs w:val="22"/>
        </w:rPr>
        <w:t xml:space="preserve">Usage rules</w:t>
      </w:r>
    </w:p>
    <w:tbl>
      <w:tblPr>
        <w:tblW w:type="pct" w:w="100%"/>
        <w:tblBorders>
          <w:top w:val="single" w:color="EAE7E1" w:sz="2"/>
          <w:left w:val="single" w:color="ED3036" w:sz="22"/>
          <w:bottom w:val="single" w:color="EAE7E1" w:sz="2"/>
          <w:right w:val="single" w:color="EAE7E1" w:sz="2"/>
          <w:insideH w:val="none"/>
          <w:insideV w:val="none"/>
        </w:tblBorders>
      </w:tblPr>
      <w:tblGrid>
        <w:gridCol w:w="9360"/>
      </w:tblGrid>
      <w:tr>
        <w:tc>
          <w:tcPr>
            <w:tcW w:type="dxa" w:w="9360"/>
            <w:shd w:fill="EAE7E1" w:val="clear"/>
            <w:tcMar>
              <w:top w:type="dxa" w:w="150"/>
              <w:left w:type="dxa" w:w="200"/>
              <w:bottom w:type="dxa" w:w="150"/>
              <w:right w:type="dxa" w:w="200"/>
            </w:tcMar>
          </w:tcPr>
          <w:p>
            <w:pPr>
              <w:spacing w:after="55"/>
            </w:pPr>
            <w:r>
              <w:rPr>
                <w:rFonts w:ascii="Arial" w:cs="Arial" w:eastAsia="Arial" w:hAnsi="Arial"/>
                <w:b/>
                <w:bCs/>
                <w:color w:val="ED3036"/>
                <w:spacing w:val="50"/>
                <w:sz w:val="14"/>
                <w:szCs w:val="14"/>
              </w:rPr>
              <w:t xml:space="preserve">RULE   </w:t>
            </w:r>
            <w:r>
              <w:rPr>
                <w:rFonts w:ascii="Arial" w:cs="Arial" w:eastAsia="Arial" w:hAnsi="Arial"/>
                <w:b/>
                <w:bCs/>
                <w:color w:val="2A2A2B"/>
                <w:sz w:val="19"/>
                <w:szCs w:val="19"/>
              </w:rPr>
              <w:t xml:space="preserve">The 70 / 25 / 5 discipline</w:t>
            </w:r>
          </w:p>
          <w:p>
            <w:pPr>
              <w:spacing w:after="55" w:line="264"/>
            </w:pPr>
            <w:r>
              <w:rPr>
                <w:rFonts w:ascii="Arial" w:cs="Arial" w:eastAsia="Arial" w:hAnsi="Arial"/>
                <w:color w:val="2A2A2B"/>
                <w:sz w:val="18"/>
                <w:szCs w:val="18"/>
              </w:rPr>
              <w:t xml:space="preserve">Roughly 70 per cent warm neutral ground (Chalk, Terrazzo), 25 per cent Reticle Black, Sight Grey and material tones, and no more than 5 per cent Ten Ring Red.</w:t>
            </w:r>
          </w:p>
          <w:p>
            <w:pPr>
              <w:spacing w:after="55" w:line="264"/>
            </w:pPr>
            <w:r>
              <w:rPr>
                <w:rFonts w:ascii="Arial" w:cs="Arial" w:eastAsia="Arial" w:hAnsi="Arial"/>
                <w:color w:val="2A2A2B"/>
                <w:sz w:val="18"/>
                <w:szCs w:val="18"/>
              </w:rPr>
              <w:t xml:space="preserve">Red is a point, never a plane. It marks the centre of a target, the primary action, the one thing that matters on a screen. A red header or red-heavy layout inverts the positioning entirely — it stops reading as precision and starts reading as alarm.</w:t>
            </w:r>
          </w:p>
          <w:p>
            <w:pPr>
              <w:spacing w:after="55" w:line="264"/>
            </w:pPr>
            <w:r>
              <w:rPr>
                <w:rFonts w:ascii="Arial" w:cs="Arial" w:eastAsia="Arial" w:hAnsi="Arial"/>
                <w:color w:val="2A2A2B"/>
                <w:sz w:val="18"/>
                <w:szCs w:val="18"/>
              </w:rPr>
              <w:t xml:space="preserve">The blues sit outside this ratio as supporting surfaces. They may occupy larger areas than red, but should never compete with the neutral ground.</w:t>
            </w:r>
          </w:p>
        </w:tc>
      </w:tr>
    </w:tbl>
    <w:p>
      <w:pPr>
        <w:pStyle w:val="ListParagraph"/>
        <w:numPr>
          <w:ilvl w:val="0"/>
          <w:numId w:val="1"/>
        </w:numPr>
        <w:spacing w:after="80" w:line="276"/>
      </w:pPr>
      <w:r>
        <w:rPr>
          <w:rFonts w:ascii="Arial" w:cs="Arial" w:eastAsia="Arial" w:hAnsi="Arial"/>
          <w:color w:val="2A2A2B"/>
          <w:sz w:val="19"/>
          <w:szCs w:val="19"/>
        </w:rPr>
        <w:t xml:space="preserve">Warmth is mandatory in the neutrals. Cool greys and pure black push the brand toward gunmetal.</w:t>
      </w:r>
    </w:p>
    <w:p>
      <w:pPr>
        <w:pStyle w:val="ListParagraph"/>
        <w:numPr>
          <w:ilvl w:val="0"/>
          <w:numId w:val="1"/>
        </w:numPr>
        <w:spacing w:after="80" w:line="276"/>
      </w:pPr>
      <w:r>
        <w:rPr>
          <w:rFonts w:ascii="Arial" w:cs="Arial" w:eastAsia="Arial" w:hAnsi="Arial"/>
          <w:b/>
          <w:bCs/>
          <w:color w:val="2A2A2B"/>
          <w:sz w:val="19"/>
          <w:szCs w:val="19"/>
        </w:rPr>
        <w:t xml:space="preserve">Use Soffit Blue and VIP Teal to encode access. </w:t>
      </w:r>
      <w:r>
        <w:rPr>
          <w:rFonts w:ascii="Arial" w:cs="Arial" w:eastAsia="Arial" w:hAnsi="Arial"/>
          <w:color w:val="2A2A2B"/>
          <w:sz w:val="19"/>
          <w:szCs w:val="19"/>
        </w:rPr>
        <w:t xml:space="preserve">Blue for open, welcoming contexts — first visit, snack bar, groups. Teal for member and VIP contexts. This mirrors the building and makes tiering legible without a word of copy.</w:t>
      </w:r>
    </w:p>
    <w:p>
      <w:pPr>
        <w:pStyle w:val="ListParagraph"/>
        <w:numPr>
          <w:ilvl w:val="0"/>
          <w:numId w:val="1"/>
        </w:numPr>
        <w:spacing w:after="80" w:line="276"/>
      </w:pPr>
      <w:r>
        <w:rPr>
          <w:rFonts w:ascii="Arial" w:cs="Arial" w:eastAsia="Arial" w:hAnsi="Arial"/>
          <w:color w:val="2A2A2B"/>
          <w:sz w:val="19"/>
          <w:szCs w:val="19"/>
        </w:rPr>
        <w:t xml:space="preserve">Dark sections are permitted and effective — use Charred Timber, not pure black, and keep them purposeful.</w:t>
      </w:r>
    </w:p>
    <w:p>
      <w:pPr>
        <w:pStyle w:val="ListParagraph"/>
        <w:numPr>
          <w:ilvl w:val="0"/>
          <w:numId w:val="1"/>
        </w:numPr>
        <w:spacing w:after="80" w:line="276"/>
      </w:pPr>
      <w:r>
        <w:rPr>
          <w:rFonts w:ascii="Arial" w:cs="Arial" w:eastAsia="Arial" w:hAnsi="Arial"/>
          <w:color w:val="2A2A2B"/>
          <w:sz w:val="19"/>
          <w:szCs w:val="19"/>
        </w:rPr>
        <w:t xml:space="preserve">Ten Ring Red is bright and fails contrast on mid-tone grounds at small sizes. Verify against WCAG AA below 18 px; use a deeper red where needed.</w:t>
      </w:r>
    </w:p>
    <w:p>
      <w:pPr>
        <w:pStyle w:val="ListParagraph"/>
        <w:numPr>
          <w:ilvl w:val="0"/>
          <w:numId w:val="1"/>
        </w:numPr>
        <w:spacing w:after="80" w:line="276"/>
      </w:pPr>
      <w:r>
        <w:rPr>
          <w:rFonts w:ascii="Arial" w:cs="Arial" w:eastAsia="Arial" w:hAnsi="Arial"/>
          <w:color w:val="2A2A2B"/>
          <w:sz w:val="19"/>
          <w:szCs w:val="19"/>
        </w:rPr>
        <w:t xml:space="preserve">Never use red for error states alone — it is the brand accent. Pair errors with an icon and explicit text.</w:t>
      </w:r>
    </w:p>
    <w:p>
      <w:r>
        <w:br w:type="page"/>
      </w:r>
    </w:p>
    <w:p>
      <w:pPr>
        <w:spacing w:after="50" w:before="40"/>
      </w:pPr>
      <w:r>
        <w:rPr>
          <w:rFonts w:ascii="Arial" w:cs="Arial" w:eastAsia="Arial" w:hAnsi="Arial"/>
          <w:b/>
          <w:bCs/>
          <w:color w:val="ED3036"/>
          <w:spacing w:val="70"/>
          <w:sz w:val="15"/>
          <w:szCs w:val="15"/>
        </w:rPr>
        <w:t xml:space="preserve">SECTION 5</w:t>
      </w:r>
    </w:p>
    <w:p>
      <w:pPr>
        <w:spacing w:after="130" w:before="0"/>
      </w:pPr>
      <w:r>
        <w:rPr>
          <w:rFonts w:ascii="Arial" w:cs="Arial" w:eastAsia="Arial" w:hAnsi="Arial"/>
          <w:b/>
          <w:bCs/>
          <w:color w:val="2A2A2B"/>
          <w:spacing w:val="-4"/>
          <w:sz w:val="30"/>
          <w:szCs w:val="30"/>
        </w:rPr>
        <w:t xml:space="preserve">Typography</w:t>
      </w:r>
    </w:p>
    <w:p>
      <w:pPr>
        <w:spacing w:after="130" w:line="288"/>
      </w:pPr>
      <w:r>
        <w:rPr>
          <w:rFonts w:ascii="Arial" w:cs="Arial" w:eastAsia="Arial" w:hAnsi="Arial"/>
          <w:color w:val="2A2A2B"/>
          <w:sz w:val="19"/>
          <w:szCs w:val="19"/>
        </w:rPr>
        <w:t xml:space="preserve">The lockup already uses two faces — a stencil for the wordmark and a squared technical sans for the descriptor. Neither should become the system. The brand needs three things a lockup does not provide: display authority, calm legibility at length, and — critically, given leagues and scores — </w:t>
      </w:r>
      <w:r>
        <w:rPr>
          <w:rFonts w:ascii="Arial" w:cs="Arial" w:eastAsia="Arial" w:hAnsi="Arial"/>
          <w:b/>
          <w:bCs/>
          <w:color w:val="2A2A2B"/>
          <w:sz w:val="19"/>
          <w:szCs w:val="19"/>
        </w:rPr>
        <w:t xml:space="preserve">numerals that align in columns</w:t>
      </w:r>
      <w:r>
        <w:rPr>
          <w:rFonts w:ascii="Arial" w:cs="Arial" w:eastAsia="Arial" w:hAnsi="Arial"/>
          <w:color w:val="2A2A2B"/>
          <w:sz w:val="19"/>
          <w:szCs w:val="19"/>
        </w:rPr>
        <w:t xml:space="preserve">.</w:t>
      </w:r>
    </w:p>
    <w:p>
      <w:pPr>
        <w:spacing w:after="130" w:line="288"/>
      </w:pPr>
      <w:r>
        <w:rPr>
          <w:rFonts w:ascii="Arial" w:cs="Arial" w:eastAsia="Arial" w:hAnsi="Arial"/>
          <w:b/>
          <w:bCs/>
          <w:color w:val="2A2A2B"/>
          <w:sz w:val="19"/>
          <w:szCs w:val="19"/>
        </w:rPr>
        <w:t xml:space="preserve">The system should counterweight the stencil, not echo it. </w:t>
      </w:r>
      <w:r>
        <w:rPr>
          <w:rFonts w:ascii="Arial" w:cs="Arial" w:eastAsia="Arial" w:hAnsi="Arial"/>
          <w:color w:val="2A2A2B"/>
          <w:sz w:val="19"/>
          <w:szCs w:val="19"/>
        </w:rPr>
        <w:t xml:space="preserve">If option A is taken and the stencil wordmark is retained, this becomes more important, not less: everything around the logo must read precise and contemporary, so the mark is understood as heritage rather than as tone.</w:t>
      </w:r>
    </w:p>
    <w:p>
      <w:pPr>
        <w:spacing w:after="90" w:before="220"/>
      </w:pPr>
      <w:r>
        <w:rPr>
          <w:rFonts w:ascii="Arial" w:cs="Arial" w:eastAsia="Arial" w:hAnsi="Arial"/>
          <w:b/>
          <w:bCs/>
          <w:color w:val="2A2A2B"/>
          <w:sz w:val="22"/>
          <w:szCs w:val="22"/>
        </w:rPr>
        <w:t xml:space="preserve">Recommended system</w:t>
      </w:r>
    </w:p>
    <w:tbl>
      <w:tblPr>
        <w:tblW w:type="pct" w:w="100%"/>
        <w:tblBorders>
          <w:top w:val="single" w:color="D8D4CD" w:sz="2"/>
          <w:left w:val="none"/>
          <w:bottom w:val="single" w:color="D8D4CD" w:sz="2"/>
          <w:right w:val="none"/>
          <w:insideH w:val="single" w:color="D8D4CD" w:sz="2"/>
          <w:insideV w:val="none"/>
        </w:tblBorders>
      </w:tblPr>
      <w:tblGrid>
        <w:gridCol w:w="1700"/>
        <w:gridCol w:w="7660"/>
      </w:tblGrid>
      <w:tr>
        <w:trPr>
          <w:tblHeader/>
        </w:trPr>
        <w:tc>
          <w:tcPr>
            <w:tcW w:type="dxa" w:w="17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ROLE</w:t>
            </w:r>
          </w:p>
        </w:tc>
        <w:tc>
          <w:tcPr>
            <w:tcW w:type="dxa" w:w="766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RECOMMENDATION</w:t>
            </w:r>
          </w:p>
        </w:tc>
      </w:tr>
      <w:tr>
        <w:tc>
          <w:tcPr>
            <w:tcW w:type="dxa" w:w="17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Display</w:t>
            </w:r>
          </w:p>
        </w:tc>
        <w:tc>
          <w:tcPr>
            <w:tcW w:type="dxa" w:w="7660"/>
            <w:tcMar>
              <w:top w:type="dxa" w:w="110"/>
              <w:left w:type="dxa" w:w="140"/>
              <w:bottom w:type="dxa" w:w="110"/>
              <w:right w:type="dxa" w:w="140"/>
            </w:tcMar>
          </w:tcPr>
          <w:p>
            <w:pPr>
              <w:spacing w:after="60" w:line="264"/>
            </w:pPr>
            <w:r>
              <w:rPr>
                <w:rFonts w:ascii="Arial" w:cs="Arial" w:eastAsia="Arial" w:hAnsi="Arial"/>
                <w:b w:val="false"/>
                <w:bCs w:val="false"/>
                <w:color w:val="5F6469"/>
                <w:sz w:val="18"/>
                <w:szCs w:val="18"/>
              </w:rPr>
              <w:t xml:space="preserve">Archivo or Archivo Expanded (open licence). An institutional grotesque with sporting authority and slight width — it reads as a governing body rather than a start-up.</w:t>
            </w:r>
          </w:p>
          <w:p>
            <w:pPr>
              <w:spacing w:after="0" w:line="264"/>
            </w:pPr>
            <w:r>
              <w:rPr>
                <w:rFonts w:ascii="Arial" w:cs="Arial" w:eastAsia="Arial" w:hAnsi="Arial"/>
                <w:b w:val="false"/>
                <w:bCs w:val="false"/>
                <w:color w:val="5F6469"/>
                <w:sz w:val="18"/>
                <w:szCs w:val="18"/>
              </w:rPr>
              <w:t xml:space="preserve">Premium alternative: Neue Haas Grotesk Display or Söhne Breit.</w:t>
            </w:r>
          </w:p>
        </w:tc>
      </w:tr>
      <w:tr>
        <w:tc>
          <w:tcPr>
            <w:tcW w:type="dxa" w:w="17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Body</w:t>
            </w:r>
          </w:p>
        </w:tc>
        <w:tc>
          <w:tcPr>
            <w:tcW w:type="dxa" w:w="7660"/>
            <w:tcMar>
              <w:top w:type="dxa" w:w="110"/>
              <w:left w:type="dxa" w:w="140"/>
              <w:bottom w:type="dxa" w:w="110"/>
              <w:right w:type="dxa" w:w="140"/>
            </w:tcMar>
          </w:tcPr>
          <w:p>
            <w:pPr>
              <w:spacing w:after="60" w:line="264"/>
            </w:pPr>
            <w:r>
              <w:rPr>
                <w:rFonts w:ascii="Arial" w:cs="Arial" w:eastAsia="Arial" w:hAnsi="Arial"/>
                <w:b w:val="false"/>
                <w:bCs w:val="false"/>
                <w:color w:val="5F6469"/>
                <w:sz w:val="18"/>
                <w:szCs w:val="18"/>
              </w:rPr>
              <w:t xml:space="preserve">Inter (open licence). Neutral, warm, exceptionally legible at small sizes on the mid-range Android devices this audience uses.</w:t>
            </w:r>
          </w:p>
          <w:p>
            <w:pPr>
              <w:spacing w:after="0" w:line="264"/>
            </w:pPr>
            <w:r>
              <w:rPr>
                <w:rFonts w:ascii="Arial" w:cs="Arial" w:eastAsia="Arial" w:hAnsi="Arial"/>
                <w:b w:val="false"/>
                <w:bCs w:val="false"/>
                <w:color w:val="5F6469"/>
                <w:sz w:val="18"/>
                <w:szCs w:val="18"/>
              </w:rPr>
              <w:t xml:space="preserve">Premium alternative: Söhne or Suisse Int’l.</w:t>
            </w:r>
          </w:p>
        </w:tc>
      </w:tr>
      <w:tr>
        <w:tc>
          <w:tcPr>
            <w:tcW w:type="dxa" w:w="17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Data</w:t>
            </w:r>
          </w:p>
        </w:tc>
        <w:tc>
          <w:tcPr>
            <w:tcW w:type="dxa" w:w="7660"/>
            <w:tcMar>
              <w:top w:type="dxa" w:w="110"/>
              <w:left w:type="dxa" w:w="140"/>
              <w:bottom w:type="dxa" w:w="110"/>
              <w:right w:type="dxa" w:w="140"/>
            </w:tcMar>
          </w:tcPr>
          <w:p>
            <w:pPr>
              <w:spacing w:after="60" w:line="264"/>
            </w:pPr>
            <w:r>
              <w:rPr>
                <w:rFonts w:ascii="Arial" w:cs="Arial" w:eastAsia="Arial" w:hAnsi="Arial"/>
                <w:b w:val="false"/>
                <w:bCs w:val="false"/>
                <w:color w:val="5F6469"/>
                <w:sz w:val="18"/>
                <w:szCs w:val="18"/>
              </w:rPr>
              <w:t xml:space="preserve">Archivo or Inter with tabular numerals enabled (font-variant-numeric: tabular-nums). Mandatory for scores, standings, prices and specifications.</w:t>
            </w:r>
          </w:p>
          <w:p>
            <w:pPr>
              <w:spacing w:after="0" w:line="264"/>
            </w:pPr>
            <w:r>
              <w:rPr>
                <w:rFonts w:ascii="Arial" w:cs="Arial" w:eastAsia="Arial" w:hAnsi="Arial"/>
                <w:b w:val="false"/>
                <w:bCs w:val="false"/>
                <w:color w:val="5F6469"/>
                <w:sz w:val="18"/>
                <w:szCs w:val="18"/>
              </w:rPr>
              <w:t xml:space="preserve">Optional distinct face: IBM Plex Mono for score readouts and lane numbering.</w:t>
            </w:r>
          </w:p>
        </w:tc>
      </w:tr>
    </w:tbl>
    <w:tbl>
      <w:tblPr>
        <w:tblW w:type="pct" w:w="100%"/>
        <w:tblBorders>
          <w:top w:val="single" w:color="EAE7E1" w:sz="2"/>
          <w:left w:val="single" w:color="ED3036" w:sz="22"/>
          <w:bottom w:val="single" w:color="EAE7E1" w:sz="2"/>
          <w:right w:val="single" w:color="EAE7E1" w:sz="2"/>
          <w:insideH w:val="none"/>
          <w:insideV w:val="none"/>
        </w:tblBorders>
      </w:tblPr>
      <w:tblGrid>
        <w:gridCol w:w="9360"/>
      </w:tblGrid>
      <w:tr>
        <w:tc>
          <w:tcPr>
            <w:tcW w:type="dxa" w:w="9360"/>
            <w:shd w:fill="EAE7E1" w:val="clear"/>
            <w:tcMar>
              <w:top w:type="dxa" w:w="150"/>
              <w:left w:type="dxa" w:w="200"/>
              <w:bottom w:type="dxa" w:w="150"/>
              <w:right w:type="dxa" w:w="200"/>
            </w:tcMar>
          </w:tcPr>
          <w:p>
            <w:pPr>
              <w:spacing w:after="55"/>
            </w:pPr>
            <w:r>
              <w:rPr>
                <w:rFonts w:ascii="Arial" w:cs="Arial" w:eastAsia="Arial" w:hAnsi="Arial"/>
                <w:b/>
                <w:bCs/>
                <w:color w:val="ED3036"/>
                <w:spacing w:val="50"/>
                <w:sz w:val="14"/>
                <w:szCs w:val="14"/>
              </w:rPr>
              <w:t xml:space="preserve">NON-NEGOTIABLE   </w:t>
            </w:r>
            <w:r>
              <w:rPr>
                <w:rFonts w:ascii="Arial" w:cs="Arial" w:eastAsia="Arial" w:hAnsi="Arial"/>
                <w:b/>
                <w:bCs/>
                <w:color w:val="2A2A2B"/>
                <w:sz w:val="19"/>
                <w:szCs w:val="19"/>
              </w:rPr>
              <w:t xml:space="preserve">Tabular numerals</w:t>
            </w:r>
          </w:p>
          <w:p>
            <w:pPr>
              <w:spacing w:after="55" w:line="264"/>
            </w:pPr>
            <w:r>
              <w:rPr>
                <w:rFonts w:ascii="Arial" w:cs="Arial" w:eastAsia="Arial" w:hAnsi="Arial"/>
                <w:color w:val="2A2A2B"/>
                <w:sz w:val="18"/>
                <w:szCs w:val="18"/>
              </w:rPr>
              <w:t xml:space="preserve">League standings, scores and specification tables whose numerals do not align in columns look amateur instantly — and this brand’s entire claim is precision. Enable tabular figures wherever numbers stack. A small technical detail with disproportionate effect on perceived quality.</w:t>
            </w:r>
          </w:p>
        </w:tc>
      </w:tr>
    </w:tbl>
    <w:p>
      <w:pPr>
        <w:spacing w:after="90" w:before="220"/>
      </w:pPr>
      <w:r>
        <w:rPr>
          <w:rFonts w:ascii="Arial" w:cs="Arial" w:eastAsia="Arial" w:hAnsi="Arial"/>
          <w:b/>
          <w:bCs/>
          <w:color w:val="2A2A2B"/>
          <w:sz w:val="22"/>
          <w:szCs w:val="22"/>
        </w:rPr>
        <w:t xml:space="preserve">Setting rules</w:t>
      </w:r>
    </w:p>
    <w:p>
      <w:pPr>
        <w:pStyle w:val="ListParagraph"/>
        <w:numPr>
          <w:ilvl w:val="0"/>
          <w:numId w:val="1"/>
        </w:numPr>
        <w:spacing w:after="80" w:line="276"/>
      </w:pPr>
      <w:r>
        <w:rPr>
          <w:rFonts w:ascii="Arial" w:cs="Arial" w:eastAsia="Arial" w:hAnsi="Arial"/>
          <w:color w:val="2A2A2B"/>
          <w:sz w:val="19"/>
          <w:szCs w:val="19"/>
        </w:rPr>
        <w:t xml:space="preserve">Display and headings: tight tracking (−2 to −4 units), tight leading. Authority comes from density.</w:t>
      </w:r>
    </w:p>
    <w:p>
      <w:pPr>
        <w:pStyle w:val="ListParagraph"/>
        <w:numPr>
          <w:ilvl w:val="0"/>
          <w:numId w:val="1"/>
        </w:numPr>
        <w:spacing w:after="80" w:line="276"/>
      </w:pPr>
      <w:r>
        <w:rPr>
          <w:rFonts w:ascii="Arial" w:cs="Arial" w:eastAsia="Arial" w:hAnsi="Arial"/>
          <w:color w:val="2A2A2B"/>
          <w:sz w:val="19"/>
          <w:szCs w:val="19"/>
        </w:rPr>
        <w:t xml:space="preserve">Body: generous leading (1.6–1.7), measure capped at 68 characters.</w:t>
      </w:r>
    </w:p>
    <w:p>
      <w:pPr>
        <w:pStyle w:val="ListParagraph"/>
        <w:numPr>
          <w:ilvl w:val="0"/>
          <w:numId w:val="1"/>
        </w:numPr>
        <w:spacing w:after="80" w:line="276"/>
      </w:pPr>
      <w:r>
        <w:rPr>
          <w:rFonts w:ascii="Arial" w:cs="Arial" w:eastAsia="Arial" w:hAnsi="Arial"/>
          <w:color w:val="2A2A2B"/>
          <w:sz w:val="19"/>
          <w:szCs w:val="19"/>
        </w:rPr>
        <w:t xml:space="preserve">Small capitals with wide tracking (60–130 units) for labels, kickers and the descriptor. Echoes the lockup and is a signature device.</w:t>
      </w:r>
    </w:p>
    <w:p>
      <w:pPr>
        <w:pStyle w:val="ListParagraph"/>
        <w:numPr>
          <w:ilvl w:val="0"/>
          <w:numId w:val="1"/>
        </w:numPr>
        <w:spacing w:after="80" w:line="276"/>
      </w:pPr>
      <w:r>
        <w:rPr>
          <w:rFonts w:ascii="Arial" w:cs="Arial" w:eastAsia="Arial" w:hAnsi="Arial"/>
          <w:color w:val="2A2A2B"/>
          <w:sz w:val="19"/>
          <w:szCs w:val="19"/>
        </w:rPr>
        <w:t xml:space="preserve">Two weights carry the system — Regular and Bold. Avoid light weights; they read fragile and fail on low-quality screens.</w:t>
      </w:r>
    </w:p>
    <w:p>
      <w:pPr>
        <w:pStyle w:val="ListParagraph"/>
        <w:numPr>
          <w:ilvl w:val="0"/>
          <w:numId w:val="1"/>
        </w:numPr>
        <w:spacing w:after="80" w:line="276"/>
      </w:pPr>
      <w:r>
        <w:rPr>
          <w:rFonts w:ascii="Arial" w:cs="Arial" w:eastAsia="Arial" w:hAnsi="Arial"/>
          <w:color w:val="2A2A2B"/>
          <w:sz w:val="19"/>
          <w:szCs w:val="19"/>
        </w:rPr>
        <w:t xml:space="preserve">Lane numbering in the building is large, plain and numeric. Echo it: oversized tabular figures are a legitimate display device.</w:t>
      </w:r>
    </w:p>
    <w:p>
      <w:pPr>
        <w:pStyle w:val="ListParagraph"/>
        <w:numPr>
          <w:ilvl w:val="0"/>
          <w:numId w:val="1"/>
        </w:numPr>
        <w:spacing w:after="80" w:line="276"/>
      </w:pPr>
      <w:r>
        <w:rPr>
          <w:rFonts w:ascii="Arial" w:cs="Arial" w:eastAsia="Arial" w:hAnsi="Arial"/>
          <w:color w:val="2A2A2B"/>
          <w:sz w:val="19"/>
          <w:szCs w:val="19"/>
        </w:rPr>
        <w:t xml:space="preserve">Never set body copy in the display face; never set headlines in a stencil.</w:t>
      </w:r>
    </w:p>
    <w:p>
      <w:r>
        <w:br w:type="page"/>
      </w:r>
    </w:p>
    <w:p>
      <w:pPr>
        <w:spacing w:after="50" w:before="40"/>
      </w:pPr>
      <w:r>
        <w:rPr>
          <w:rFonts w:ascii="Arial" w:cs="Arial" w:eastAsia="Arial" w:hAnsi="Arial"/>
          <w:b/>
          <w:bCs/>
          <w:color w:val="ED3036"/>
          <w:spacing w:val="70"/>
          <w:sz w:val="15"/>
          <w:szCs w:val="15"/>
        </w:rPr>
        <w:t xml:space="preserve">SECTION 6</w:t>
      </w:r>
    </w:p>
    <w:p>
      <w:pPr>
        <w:spacing w:after="130" w:before="0"/>
      </w:pPr>
      <w:r>
        <w:rPr>
          <w:rFonts w:ascii="Arial" w:cs="Arial" w:eastAsia="Arial" w:hAnsi="Arial"/>
          <w:b/>
          <w:bCs/>
          <w:color w:val="2A2A2B"/>
          <w:spacing w:val="-4"/>
          <w:sz w:val="30"/>
          <w:szCs w:val="30"/>
        </w:rPr>
        <w:t xml:space="preserve">Materials and texture</w:t>
      </w:r>
    </w:p>
    <w:p>
      <w:pPr>
        <w:spacing w:after="130" w:line="288"/>
      </w:pPr>
      <w:r>
        <w:rPr>
          <w:rFonts w:ascii="Arial" w:cs="Arial" w:eastAsia="Arial" w:hAnsi="Arial"/>
          <w:color w:val="2A2A2B"/>
          <w:sz w:val="19"/>
          <w:szCs w:val="19"/>
        </w:rPr>
        <w:t xml:space="preserve">The building supplies a ready-made texture library. Photograph these and use them as digital surfaces — it costs nothing and ties every touchpoint back to the physical club.</w:t>
      </w:r>
    </w:p>
    <w:tbl>
      <w:tblPr>
        <w:tblW w:type="pct" w:w="100%"/>
        <w:tblBorders>
          <w:top w:val="single" w:color="D8D4CD" w:sz="2"/>
          <w:left w:val="none"/>
          <w:bottom w:val="single" w:color="D8D4CD" w:sz="2"/>
          <w:right w:val="none"/>
          <w:insideH w:val="single" w:color="D8D4CD" w:sz="2"/>
          <w:insideV w:val="none"/>
        </w:tblBorders>
      </w:tblPr>
      <w:tblGrid>
        <w:gridCol w:w="2000"/>
        <w:gridCol w:w="3600"/>
        <w:gridCol w:w="3760"/>
      </w:tblGrid>
      <w:tr>
        <w:trPr>
          <w:tblHeader/>
        </w:trPr>
        <w:tc>
          <w:tcPr>
            <w:tcW w:type="dxa" w:w="20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MATERIAL</w:t>
            </w:r>
          </w:p>
        </w:tc>
        <w:tc>
          <w:tcPr>
            <w:tcW w:type="dxa" w:w="36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WHERE IT APPEARS</w:t>
            </w:r>
          </w:p>
        </w:tc>
        <w:tc>
          <w:tcPr>
            <w:tcW w:type="dxa" w:w="376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BRAND USE</w:t>
            </w:r>
          </w:p>
        </w:tc>
      </w:tr>
      <w:tr>
        <w:tc>
          <w:tcPr>
            <w:tcW w:type="dxa" w:w="20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Terrazzo</w:t>
            </w:r>
          </w:p>
        </w:tc>
        <w:tc>
          <w:tcPr>
            <w:tcW w:type="dxa" w:w="36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All floors, reception desk, bar counters</w:t>
            </w:r>
          </w:p>
        </w:tc>
        <w:tc>
          <w:tcPr>
            <w:tcW w:type="dxa" w:w="3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Section grounds, card surfaces, membership cards</w:t>
            </w:r>
          </w:p>
        </w:tc>
      </w:tr>
      <w:tr>
        <w:tc>
          <w:tcPr>
            <w:tcW w:type="dxa" w:w="20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Warm teak</w:t>
            </w:r>
          </w:p>
        </w:tc>
        <w:tc>
          <w:tcPr>
            <w:tcW w:type="dxa" w:w="36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Firing lines, screens, lattice, decking</w:t>
            </w:r>
          </w:p>
        </w:tc>
        <w:tc>
          <w:tcPr>
            <w:tcW w:type="dxa" w:w="3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Dividers, warm panels, merchandise</w:t>
            </w:r>
          </w:p>
        </w:tc>
      </w:tr>
      <w:tr>
        <w:tc>
          <w:tcPr>
            <w:tcW w:type="dxa" w:w="20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Charred ribbed timber</w:t>
            </w:r>
          </w:p>
        </w:tc>
        <w:tc>
          <w:tcPr>
            <w:tcW w:type="dxa" w:w="36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Service building cladding</w:t>
            </w:r>
          </w:p>
        </w:tc>
        <w:tc>
          <w:tcPr>
            <w:tcW w:type="dxa" w:w="3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Dark sections, footers, night layouts</w:t>
            </w:r>
          </w:p>
        </w:tc>
      </w:tr>
      <w:tr>
        <w:tc>
          <w:tcPr>
            <w:tcW w:type="dxa" w:w="20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Black steel mesh</w:t>
            </w:r>
          </w:p>
        </w:tc>
        <w:tc>
          <w:tcPr>
            <w:tcW w:type="dxa" w:w="36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Window screens, balustrades, gates</w:t>
            </w:r>
          </w:p>
        </w:tc>
        <w:tc>
          <w:tcPr>
            <w:tcW w:type="dxa" w:w="3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Overlay pattern, texture at low opacity</w:t>
            </w:r>
          </w:p>
        </w:tc>
      </w:tr>
      <w:tr>
        <w:tc>
          <w:tcPr>
            <w:tcW w:type="dxa" w:w="20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Gabion stone</w:t>
            </w:r>
          </w:p>
        </w:tc>
        <w:tc>
          <w:tcPr>
            <w:tcW w:type="dxa" w:w="36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Window bases, exterior walls</w:t>
            </w:r>
          </w:p>
        </w:tc>
        <w:tc>
          <w:tcPr>
            <w:tcW w:type="dxa" w:w="3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Textural detail, print backgrounds</w:t>
            </w:r>
          </w:p>
        </w:tc>
      </w:tr>
      <w:tr>
        <w:tc>
          <w:tcPr>
            <w:tcW w:type="dxa" w:w="20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Timber lattice</w:t>
            </w:r>
          </w:p>
        </w:tc>
        <w:tc>
          <w:tcPr>
            <w:tcW w:type="dxa" w:w="36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Deck privacy screens</w:t>
            </w:r>
          </w:p>
        </w:tc>
        <w:tc>
          <w:tcPr>
            <w:tcW w:type="dxa" w:w="3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Graphic pattern, section transitions</w:t>
            </w:r>
          </w:p>
        </w:tc>
      </w:tr>
    </w:tbl>
    <w:p>
      <w:pPr>
        <w:spacing w:after="50" w:before="40"/>
      </w:pPr>
      <w:r>
        <w:rPr>
          <w:rFonts w:ascii="Arial" w:cs="Arial" w:eastAsia="Arial" w:hAnsi="Arial"/>
          <w:b/>
          <w:bCs/>
          <w:color w:val="ED3036"/>
          <w:spacing w:val="70"/>
          <w:sz w:val="15"/>
          <w:szCs w:val="15"/>
        </w:rPr>
        <w:t xml:space="preserve">SECTION 7</w:t>
      </w:r>
    </w:p>
    <w:p>
      <w:pPr>
        <w:spacing w:after="130" w:before="300"/>
      </w:pPr>
      <w:r>
        <w:rPr>
          <w:rFonts w:ascii="Arial" w:cs="Arial" w:eastAsia="Arial" w:hAnsi="Arial"/>
          <w:b/>
          <w:bCs/>
          <w:color w:val="2A2A2B"/>
          <w:spacing w:val="-4"/>
          <w:sz w:val="30"/>
          <w:szCs w:val="30"/>
        </w:rPr>
        <w:t xml:space="preserve">Art direction and photography</w:t>
      </w:r>
    </w:p>
    <w:p>
      <w:pPr>
        <w:spacing w:after="130" w:line="288"/>
      </w:pPr>
      <w:r>
        <w:rPr>
          <w:rFonts w:ascii="Arial" w:cs="Arial" w:eastAsia="Arial" w:hAnsi="Arial"/>
          <w:b/>
          <w:bCs/>
          <w:color w:val="2A2A2B"/>
          <w:sz w:val="19"/>
          <w:szCs w:val="19"/>
        </w:rPr>
        <w:t xml:space="preserve">Photography carries more of this brand than copy does. </w:t>
      </w:r>
      <w:r>
        <w:rPr>
          <w:rFonts w:ascii="Arial" w:cs="Arial" w:eastAsia="Arial" w:hAnsi="Arial"/>
          <w:color w:val="2A2A2B"/>
          <w:sz w:val="19"/>
          <w:szCs w:val="19"/>
        </w:rPr>
        <w:t xml:space="preserve">The building already makes the sport-not-combat argument. The photography’s job is to report it, beautifully — in two distinct registers.</w:t>
      </w:r>
    </w:p>
    <w:p>
      <w:pPr>
        <w:spacing w:after="70" w:before="160"/>
      </w:pPr>
      <w:r>
        <w:rPr>
          <w:rFonts w:ascii="Arial" w:cs="Arial" w:eastAsia="Arial" w:hAnsi="Arial"/>
          <w:b/>
          <w:bCs/>
          <w:color w:val="5A3A1C"/>
          <w:sz w:val="19"/>
          <w:szCs w:val="19"/>
        </w:rPr>
        <w:t xml:space="preserve">Register one — Day: precision</w:t>
      </w:r>
    </w:p>
    <w:p>
      <w:pPr>
        <w:spacing w:after="130" w:line="288"/>
      </w:pPr>
      <w:r>
        <w:rPr>
          <w:rFonts w:ascii="Arial" w:cs="Arial" w:eastAsia="Arial" w:hAnsi="Arial"/>
          <w:color w:val="2A2A2B"/>
          <w:sz w:val="19"/>
          <w:szCs w:val="19"/>
        </w:rPr>
        <w:t xml:space="preserve">Sells the competition-standard claim. Stillness, controlled light, craft. Equipment photographed as precision objects. Empty, art-directed, architectural. Restraint over adrenaline. This is the register that makes the club read as serious.</w:t>
      </w:r>
    </w:p>
    <w:p>
      <w:pPr>
        <w:spacing w:after="70" w:before="160"/>
      </w:pPr>
      <w:r>
        <w:rPr>
          <w:rFonts w:ascii="Arial" w:cs="Arial" w:eastAsia="Arial" w:hAnsi="Arial"/>
          <w:b/>
          <w:bCs/>
          <w:color w:val="5A3A1C"/>
          <w:sz w:val="19"/>
          <w:szCs w:val="19"/>
        </w:rPr>
        <w:t xml:space="preserve">Register two — Night: belonging</w:t>
      </w:r>
    </w:p>
    <w:p>
      <w:pPr>
        <w:spacing w:after="130" w:line="288"/>
      </w:pPr>
      <w:r>
        <w:rPr>
          <w:rFonts w:ascii="Arial" w:cs="Arial" w:eastAsia="Arial" w:hAnsi="Arial"/>
          <w:color w:val="2A2A2B"/>
          <w:sz w:val="19"/>
          <w:szCs w:val="19"/>
        </w:rPr>
        <w:t xml:space="preserve">The architect rendered most of this scheme after dark, and those are the strongest images in the set — light columns, glowing deck edges, warm interiors against a dark sky. </w:t>
      </w:r>
      <w:r>
        <w:rPr>
          <w:rFonts w:ascii="Arial" w:cs="Arial" w:eastAsia="Arial" w:hAnsi="Arial"/>
          <w:b/>
          <w:bCs/>
          <w:color w:val="2A2A2B"/>
          <w:sz w:val="19"/>
          <w:szCs w:val="19"/>
        </w:rPr>
        <w:t xml:space="preserve">That is what sells a membership. </w:t>
      </w:r>
      <w:r>
        <w:rPr>
          <w:rFonts w:ascii="Arial" w:cs="Arial" w:eastAsia="Arial" w:hAnsi="Arial"/>
          <w:color w:val="2A2A2B"/>
          <w:sz w:val="19"/>
          <w:szCs w:val="19"/>
        </w:rPr>
        <w:t xml:space="preserve">The day register proves it is serious; the night register makes people want to be there on a Friday. Both are required; neither alone is sufficient.</w:t>
      </w:r>
    </w:p>
    <w:p>
      <w:pPr>
        <w:spacing w:after="90" w:before="220"/>
      </w:pPr>
      <w:r>
        <w:rPr>
          <w:rFonts w:ascii="Arial" w:cs="Arial" w:eastAsia="Arial" w:hAnsi="Arial"/>
          <w:b/>
          <w:bCs/>
          <w:color w:val="2A2A2B"/>
          <w:sz w:val="22"/>
          <w:szCs w:val="22"/>
        </w:rPr>
        <w:t xml:space="preserve">Principles</w:t>
      </w:r>
    </w:p>
    <w:p>
      <w:pPr>
        <w:pStyle w:val="ListParagraph"/>
        <w:numPr>
          <w:ilvl w:val="0"/>
          <w:numId w:val="1"/>
        </w:numPr>
        <w:spacing w:after="80" w:line="276"/>
      </w:pPr>
      <w:r>
        <w:rPr>
          <w:rFonts w:ascii="Arial" w:cs="Arial" w:eastAsia="Arial" w:hAnsi="Arial"/>
          <w:b/>
          <w:bCs/>
          <w:color w:val="2A2A2B"/>
          <w:sz w:val="19"/>
          <w:szCs w:val="19"/>
        </w:rPr>
        <w:t xml:space="preserve">Stillness over action. </w:t>
      </w:r>
      <w:r>
        <w:rPr>
          <w:rFonts w:ascii="Arial" w:cs="Arial" w:eastAsia="Arial" w:hAnsi="Arial"/>
          <w:color w:val="2A2A2B"/>
          <w:sz w:val="19"/>
          <w:szCs w:val="19"/>
        </w:rPr>
        <w:t xml:space="preserve">The moment before the shot, not the shot.</w:t>
      </w:r>
    </w:p>
    <w:p>
      <w:pPr>
        <w:pStyle w:val="ListParagraph"/>
        <w:numPr>
          <w:ilvl w:val="0"/>
          <w:numId w:val="1"/>
        </w:numPr>
        <w:spacing w:after="80" w:line="276"/>
      </w:pPr>
      <w:r>
        <w:rPr>
          <w:rFonts w:ascii="Arial" w:cs="Arial" w:eastAsia="Arial" w:hAnsi="Arial"/>
          <w:b/>
          <w:bCs/>
          <w:color w:val="2A2A2B"/>
          <w:sz w:val="19"/>
          <w:szCs w:val="19"/>
        </w:rPr>
        <w:t xml:space="preserve">Craft over hardware. </w:t>
      </w:r>
      <w:r>
        <w:rPr>
          <w:rFonts w:ascii="Arial" w:cs="Arial" w:eastAsia="Arial" w:hAnsi="Arial"/>
          <w:color w:val="2A2A2B"/>
          <w:sz w:val="19"/>
          <w:szCs w:val="19"/>
        </w:rPr>
        <w:t xml:space="preserve">Equipment as precision objects, the way a watch is photographed. Never as weapons.</w:t>
      </w:r>
    </w:p>
    <w:p>
      <w:pPr>
        <w:pStyle w:val="ListParagraph"/>
        <w:numPr>
          <w:ilvl w:val="0"/>
          <w:numId w:val="1"/>
        </w:numPr>
        <w:spacing w:after="80" w:line="276"/>
      </w:pPr>
      <w:r>
        <w:rPr>
          <w:rFonts w:ascii="Arial" w:cs="Arial" w:eastAsia="Arial" w:hAnsi="Arial"/>
          <w:b/>
          <w:bCs/>
          <w:color w:val="2A2A2B"/>
          <w:sz w:val="19"/>
          <w:szCs w:val="19"/>
        </w:rPr>
        <w:t xml:space="preserve">Warm, controlled light. </w:t>
      </w:r>
      <w:r>
        <w:rPr>
          <w:rFonts w:ascii="Arial" w:cs="Arial" w:eastAsia="Arial" w:hAnsi="Arial"/>
          <w:color w:val="2A2A2B"/>
          <w:sz w:val="19"/>
          <w:szCs w:val="19"/>
        </w:rPr>
        <w:t xml:space="preserve">Avoid hard flash, cold light, noir contrast and heavy vignetting.</w:t>
      </w:r>
    </w:p>
    <w:p>
      <w:pPr>
        <w:pStyle w:val="ListParagraph"/>
        <w:numPr>
          <w:ilvl w:val="0"/>
          <w:numId w:val="1"/>
        </w:numPr>
        <w:spacing w:after="80" w:line="276"/>
      </w:pPr>
      <w:r>
        <w:rPr>
          <w:rFonts w:ascii="Arial" w:cs="Arial" w:eastAsia="Arial" w:hAnsi="Arial"/>
          <w:b/>
          <w:bCs/>
          <w:color w:val="2A2A2B"/>
          <w:sz w:val="19"/>
          <w:szCs w:val="19"/>
        </w:rPr>
        <w:t xml:space="preserve">Show the social. </w:t>
      </w:r>
      <w:r>
        <w:rPr>
          <w:rFonts w:ascii="Arial" w:cs="Arial" w:eastAsia="Arial" w:hAnsi="Arial"/>
          <w:color w:val="2A2A2B"/>
          <w:sz w:val="19"/>
          <w:szCs w:val="19"/>
        </w:rPr>
        <w:t xml:space="preserve">The decks, the bar, the viewing rail. A shooting club that photographs only lanes sells only to shooters.</w:t>
      </w:r>
    </w:p>
    <w:p>
      <w:pPr>
        <w:pStyle w:val="ListParagraph"/>
        <w:numPr>
          <w:ilvl w:val="0"/>
          <w:numId w:val="1"/>
        </w:numPr>
        <w:spacing w:after="80" w:line="276"/>
      </w:pPr>
      <w:r>
        <w:rPr>
          <w:rFonts w:ascii="Arial" w:cs="Arial" w:eastAsia="Arial" w:hAnsi="Arial"/>
          <w:b/>
          <w:bCs/>
          <w:color w:val="2A2A2B"/>
          <w:sz w:val="19"/>
          <w:szCs w:val="19"/>
        </w:rPr>
        <w:t xml:space="preserve">People, composed. </w:t>
      </w:r>
      <w:r>
        <w:rPr>
          <w:rFonts w:ascii="Arial" w:cs="Arial" w:eastAsia="Arial" w:hAnsi="Arial"/>
          <w:color w:val="2A2A2B"/>
          <w:sz w:val="19"/>
          <w:szCs w:val="19"/>
        </w:rPr>
        <w:t xml:space="preserve">Focused, dignified, at ease. Include beginners, women, mixed groups and spectators — the growth segment must see itself.</w:t>
      </w:r>
    </w:p>
    <w:p>
      <w:r>
        <w:br w:type="page"/>
      </w:r>
    </w:p>
    <w:p>
      <w:pPr>
        <w:spacing w:after="90" w:before="220"/>
      </w:pPr>
      <w:r>
        <w:rPr>
          <w:rFonts w:ascii="Arial" w:cs="Arial" w:eastAsia="Arial" w:hAnsi="Arial"/>
          <w:b/>
          <w:bCs/>
          <w:color w:val="2A2A2B"/>
          <w:sz w:val="22"/>
          <w:szCs w:val="22"/>
        </w:rPr>
        <w:t xml:space="preserve">Shot list</w:t>
      </w:r>
    </w:p>
    <w:p>
      <w:pPr>
        <w:spacing w:after="130" w:line="288"/>
      </w:pPr>
      <w:r>
        <w:rPr>
          <w:rFonts w:ascii="Arial" w:cs="Arial" w:eastAsia="Arial" w:hAnsi="Arial"/>
          <w:b/>
          <w:bCs/>
          <w:color w:val="ED3036"/>
          <w:sz w:val="19"/>
          <w:szCs w:val="19"/>
        </w:rPr>
        <w:t xml:space="preserve">This window is perishable. </w:t>
      </w:r>
      <w:r>
        <w:rPr>
          <w:rFonts w:ascii="Arial" w:cs="Arial" w:eastAsia="Arial" w:hAnsi="Arial"/>
          <w:color w:val="2A2A2B"/>
          <w:sz w:val="19"/>
          <w:szCs w:val="19"/>
        </w:rPr>
        <w:t xml:space="preserve">Once operational, clean art-directed frames are unobtainable and patrons cannot be photographed without consent and security review.</w:t>
      </w:r>
    </w:p>
    <w:tbl>
      <w:tblPr>
        <w:tblW w:type="pct" w:w="100%"/>
        <w:tblBorders>
          <w:top w:val="single" w:color="D8D4CD" w:sz="2"/>
          <w:left w:val="none"/>
          <w:bottom w:val="single" w:color="D8D4CD" w:sz="2"/>
          <w:right w:val="none"/>
          <w:insideH w:val="single" w:color="D8D4CD" w:sz="2"/>
          <w:insideV w:val="none"/>
        </w:tblBorders>
      </w:tblPr>
      <w:tblGrid>
        <w:gridCol w:w="2300"/>
        <w:gridCol w:w="1300"/>
        <w:gridCol w:w="5760"/>
      </w:tblGrid>
      <w:tr>
        <w:trPr>
          <w:tblHeader/>
        </w:trPr>
        <w:tc>
          <w:tcPr>
            <w:tcW w:type="dxa" w:w="23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SHOT</w:t>
            </w:r>
          </w:p>
        </w:tc>
        <w:tc>
          <w:tcPr>
            <w:tcW w:type="dxa" w:w="13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REGISTER</w:t>
            </w:r>
          </w:p>
        </w:tc>
        <w:tc>
          <w:tcPr>
            <w:tcW w:type="dxa" w:w="576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NOTES</w:t>
            </w:r>
          </w:p>
        </w:tc>
      </w:tr>
      <w:tr>
        <w:tc>
          <w:tcPr>
            <w:tcW w:type="dxa" w:w="23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Reception and lockup wall</w:t>
            </w:r>
          </w:p>
        </w:tc>
        <w:tc>
          <w:tcPr>
            <w:tcW w:type="dxa" w:w="13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Day</w:t>
            </w:r>
          </w:p>
        </w:tc>
        <w:tc>
          <w:tcPr>
            <w:tcW w:type="dxa" w:w="5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The signature brand image. Wide, symmetrical, empty.</w:t>
            </w:r>
          </w:p>
        </w:tc>
      </w:tr>
      <w:tr>
        <w:tc>
          <w:tcPr>
            <w:tcW w:type="dxa" w:w="23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10m air rifle line</w:t>
            </w:r>
          </w:p>
        </w:tc>
        <w:tc>
          <w:tcPr>
            <w:tcW w:type="dxa" w:w="13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Day</w:t>
            </w:r>
          </w:p>
        </w:tc>
        <w:tc>
          <w:tcPr>
            <w:tcW w:type="dxa" w:w="5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Eight lanes, targets, lighting. The Leagues home and the beginner entry point — give it prominence.</w:t>
            </w:r>
          </w:p>
        </w:tc>
      </w:tr>
      <w:tr>
        <w:tc>
          <w:tcPr>
            <w:tcW w:type="dxa" w:w="23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Air rifle bar seating</w:t>
            </w:r>
          </w:p>
        </w:tc>
        <w:tc>
          <w:tcPr>
            <w:tcW w:type="dxa" w:w="13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Both</w:t>
            </w:r>
          </w:p>
        </w:tc>
        <w:tc>
          <w:tcPr>
            <w:tcW w:type="dxa" w:w="5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The viewing rail and stools overlooking the lanes. The single most strategically valuable frame in the set.</w:t>
            </w:r>
          </w:p>
        </w:tc>
      </w:tr>
      <w:tr>
        <w:tc>
          <w:tcPr>
            <w:tcW w:type="dxa" w:w="23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50m range firing point</w:t>
            </w:r>
          </w:p>
        </w:tc>
        <w:tc>
          <w:tcPr>
            <w:tcW w:type="dxa" w:w="13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Day</w:t>
            </w:r>
          </w:p>
        </w:tc>
        <w:tc>
          <w:tcPr>
            <w:tcW w:type="dxa" w:w="5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Six lanes, timber counter, view downrange. Crop to exclude layout detail.</w:t>
            </w:r>
          </w:p>
        </w:tc>
      </w:tr>
      <w:tr>
        <w:tc>
          <w:tcPr>
            <w:tcW w:type="dxa" w:w="23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25m and 10m pistol ranges</w:t>
            </w:r>
          </w:p>
        </w:tc>
        <w:tc>
          <w:tcPr>
            <w:tcW w:type="dxa" w:w="13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Day</w:t>
            </w:r>
          </w:p>
        </w:tc>
        <w:tc>
          <w:tcPr>
            <w:tcW w:type="dxa" w:w="5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Covered outdoor firing lines, target frames, grass. Distinctive and photogenic.</w:t>
            </w:r>
          </w:p>
        </w:tc>
      </w:tr>
      <w:tr>
        <w:tc>
          <w:tcPr>
            <w:tcW w:type="dxa" w:w="23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Targeting system readout</w:t>
            </w:r>
          </w:p>
        </w:tc>
        <w:tc>
          <w:tcPr>
            <w:tcW w:type="dxa" w:w="13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Day</w:t>
            </w:r>
          </w:p>
        </w:tc>
        <w:tc>
          <w:tcPr>
            <w:tcW w:type="dxa" w:w="5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Automatic scoring detail. Proof of the competition-standard claim.</w:t>
            </w:r>
          </w:p>
        </w:tc>
      </w:tr>
      <w:tr>
        <w:tc>
          <w:tcPr>
            <w:tcW w:type="dxa" w:w="23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Equipment still life</w:t>
            </w:r>
          </w:p>
        </w:tc>
        <w:tc>
          <w:tcPr>
            <w:tcW w:type="dxa" w:w="13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Day</w:t>
            </w:r>
          </w:p>
        </w:tc>
        <w:tc>
          <w:tcPr>
            <w:tcW w:type="dxa" w:w="5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Precision objects, neutral ground, warm side light.</w:t>
            </w:r>
          </w:p>
        </w:tc>
      </w:tr>
      <w:tr>
        <w:tc>
          <w:tcPr>
            <w:tcW w:type="dxa" w:w="23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Material close-ups</w:t>
            </w:r>
          </w:p>
        </w:tc>
        <w:tc>
          <w:tcPr>
            <w:tcW w:type="dxa" w:w="13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Day</w:t>
            </w:r>
          </w:p>
        </w:tc>
        <w:tc>
          <w:tcPr>
            <w:tcW w:type="dxa" w:w="5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Terrazzo, teak, charred cladding, mesh, gabion. Texture library.</w:t>
            </w:r>
          </w:p>
        </w:tc>
      </w:tr>
      <w:tr>
        <w:tc>
          <w:tcPr>
            <w:tcW w:type="dxa" w:w="23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Instruction moment</w:t>
            </w:r>
          </w:p>
        </w:tc>
        <w:tc>
          <w:tcPr>
            <w:tcW w:type="dxa" w:w="13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Day</w:t>
            </w:r>
          </w:p>
        </w:tc>
        <w:tc>
          <w:tcPr>
            <w:tcW w:type="dxa" w:w="5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Range officer with a beginner. The anti-anxiety image — most useful single frame for the First Visit page.</w:t>
            </w:r>
          </w:p>
        </w:tc>
      </w:tr>
      <w:tr>
        <w:tc>
          <w:tcPr>
            <w:tcW w:type="dxa" w:w="23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Snack bar interior</w:t>
            </w:r>
          </w:p>
        </w:tc>
        <w:tc>
          <w:tcPr>
            <w:tcW w:type="dxa" w:w="13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Both</w:t>
            </w:r>
          </w:p>
        </w:tc>
        <w:tc>
          <w:tcPr>
            <w:tcW w:type="dxa" w:w="5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Seating, blue soffit, lit shelving. Sells dwell time.</w:t>
            </w:r>
          </w:p>
        </w:tc>
      </w:tr>
      <w:tr>
        <w:tc>
          <w:tcPr>
            <w:tcW w:type="dxa" w:w="23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Public deck</w:t>
            </w:r>
          </w:p>
        </w:tc>
        <w:tc>
          <w:tcPr>
            <w:tcW w:type="dxa" w:w="13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Night</w:t>
            </w:r>
          </w:p>
        </w:tc>
        <w:tc>
          <w:tcPr>
            <w:tcW w:type="dxa" w:w="5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Light columns, glowing deck edge, occupied tables.</w:t>
            </w:r>
          </w:p>
        </w:tc>
      </w:tr>
      <w:tr>
        <w:tc>
          <w:tcPr>
            <w:tcW w:type="dxa" w:w="23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VIP deck</w:t>
            </w:r>
          </w:p>
        </w:tc>
        <w:tc>
          <w:tcPr>
            <w:tcW w:type="dxa" w:w="13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Night</w:t>
            </w:r>
          </w:p>
        </w:tc>
        <w:tc>
          <w:tcPr>
            <w:tcW w:type="dxa" w:w="5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Lounge seating, tensile canopies, teal furniture. The aspiration image for top-tier membership.</w:t>
            </w:r>
          </w:p>
        </w:tc>
      </w:tr>
      <w:tr>
        <w:tc>
          <w:tcPr>
            <w:tcW w:type="dxa" w:w="23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Arrival and approach</w:t>
            </w:r>
          </w:p>
        </w:tc>
        <w:tc>
          <w:tcPr>
            <w:tcW w:type="dxa" w:w="13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Night</w:t>
            </w:r>
          </w:p>
        </w:tc>
        <w:tc>
          <w:tcPr>
            <w:tcW w:type="dxa" w:w="5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Lit path, cladding, signage — without revealing security arrangements.</w:t>
            </w:r>
          </w:p>
        </w:tc>
      </w:tr>
      <w:tr>
        <w:tc>
          <w:tcPr>
            <w:tcW w:type="dxa" w:w="23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Merchandise</w:t>
            </w:r>
          </w:p>
        </w:tc>
        <w:tc>
          <w:tcPr>
            <w:tcW w:type="dxa" w:w="130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Day</w:t>
            </w:r>
          </w:p>
        </w:tc>
        <w:tc>
          <w:tcPr>
            <w:tcW w:type="dxa" w:w="57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Caps and shirts on the lit reception shelving.</w:t>
            </w:r>
          </w:p>
        </w:tc>
      </w:tr>
    </w:tbl>
    <w:tbl>
      <w:tblPr>
        <w:tblW w:type="pct" w:w="100%"/>
        <w:tblBorders>
          <w:top w:val="single" w:color="EAE7E1" w:sz="2"/>
          <w:left w:val="single" w:color="ED3036" w:sz="22"/>
          <w:bottom w:val="single" w:color="EAE7E1" w:sz="2"/>
          <w:right w:val="single" w:color="EAE7E1" w:sz="2"/>
          <w:insideH w:val="none"/>
          <w:insideV w:val="none"/>
        </w:tblBorders>
      </w:tblPr>
      <w:tblGrid>
        <w:gridCol w:w="9360"/>
      </w:tblGrid>
      <w:tr>
        <w:tc>
          <w:tcPr>
            <w:tcW w:type="dxa" w:w="9360"/>
            <w:shd w:fill="EAE7E1" w:val="clear"/>
            <w:tcMar>
              <w:top w:type="dxa" w:w="150"/>
              <w:left w:type="dxa" w:w="200"/>
              <w:bottom w:type="dxa" w:w="150"/>
              <w:right w:type="dxa" w:w="200"/>
            </w:tcMar>
          </w:tcPr>
          <w:p>
            <w:pPr>
              <w:spacing w:after="55"/>
            </w:pPr>
            <w:r>
              <w:rPr>
                <w:rFonts w:ascii="Arial" w:cs="Arial" w:eastAsia="Arial" w:hAnsi="Arial"/>
                <w:b/>
                <w:bCs/>
                <w:color w:val="ED3036"/>
                <w:spacing w:val="50"/>
                <w:sz w:val="14"/>
                <w:szCs w:val="14"/>
              </w:rPr>
              <w:t xml:space="preserve">HARD CONSTRAINT   </w:t>
            </w:r>
            <w:r>
              <w:rPr>
                <w:rFonts w:ascii="Arial" w:cs="Arial" w:eastAsia="Arial" w:hAnsi="Arial"/>
                <w:b/>
                <w:bCs/>
                <w:color w:val="2A2A2B"/>
                <w:sz w:val="19"/>
                <w:szCs w:val="19"/>
              </w:rPr>
              <w:t xml:space="preserve">What must never be photographed</w:t>
            </w:r>
          </w:p>
          <w:p>
            <w:pPr>
              <w:spacing w:after="55" w:line="264"/>
            </w:pPr>
            <w:r>
              <w:rPr>
                <w:rFonts w:ascii="Arial" w:cs="Arial" w:eastAsia="Arial" w:hAnsi="Arial"/>
                <w:color w:val="2A2A2B"/>
                <w:sz w:val="18"/>
                <w:szCs w:val="18"/>
              </w:rPr>
              <w:t xml:space="preserve">Facility layout in a way that maps the building. Entry and exit points. Storage or armoury arrangements. Security staffing or systems. Identifiable members without written consent.</w:t>
            </w:r>
          </w:p>
          <w:p>
            <w:pPr>
              <w:spacing w:after="55" w:line="264"/>
            </w:pPr>
            <w:r>
              <w:rPr>
                <w:rFonts w:ascii="Arial" w:cs="Arial" w:eastAsia="Arial" w:hAnsi="Arial"/>
                <w:color w:val="2A2A2B"/>
                <w:sz w:val="18"/>
                <w:szCs w:val="18"/>
              </w:rPr>
              <w:t xml:space="preserve">An operational security requirement, not an aesthetic preference. Brief the photographer explicitly and review every frame before publication.</w:t>
            </w:r>
          </w:p>
        </w:tc>
      </w:tr>
    </w:tbl>
    <w:p>
      <w:r>
        <w:br w:type="page"/>
      </w:r>
    </w:p>
    <w:p>
      <w:pPr>
        <w:spacing w:after="50" w:before="40"/>
      </w:pPr>
      <w:r>
        <w:rPr>
          <w:rFonts w:ascii="Arial" w:cs="Arial" w:eastAsia="Arial" w:hAnsi="Arial"/>
          <w:b/>
          <w:bCs/>
          <w:color w:val="ED3036"/>
          <w:spacing w:val="70"/>
          <w:sz w:val="15"/>
          <w:szCs w:val="15"/>
        </w:rPr>
        <w:t xml:space="preserve">SECTION 8</w:t>
      </w:r>
    </w:p>
    <w:p>
      <w:pPr>
        <w:spacing w:after="130" w:before="0"/>
      </w:pPr>
      <w:r>
        <w:rPr>
          <w:rFonts w:ascii="Arial" w:cs="Arial" w:eastAsia="Arial" w:hAnsi="Arial"/>
          <w:b/>
          <w:bCs/>
          <w:color w:val="2A2A2B"/>
          <w:spacing w:val="-4"/>
          <w:sz w:val="30"/>
          <w:szCs w:val="30"/>
        </w:rPr>
        <w:t xml:space="preserve">Graphic language</w:t>
      </w:r>
    </w:p>
    <w:p>
      <w:pPr>
        <w:spacing w:after="130" w:line="288"/>
      </w:pPr>
      <w:r>
        <w:rPr>
          <w:rFonts w:ascii="Arial" w:cs="Arial" w:eastAsia="Arial" w:hAnsi="Arial"/>
          <w:color w:val="2A2A2B"/>
          <w:sz w:val="19"/>
          <w:szCs w:val="19"/>
        </w:rPr>
        <w:t xml:space="preserve">A system extends from the reticle and the building. Used sparingly, it makes the brand recognisable without repeating the logo.</w:t>
      </w:r>
    </w:p>
    <w:p>
      <w:pPr>
        <w:pStyle w:val="ListParagraph"/>
        <w:numPr>
          <w:ilvl w:val="0"/>
          <w:numId w:val="1"/>
        </w:numPr>
        <w:spacing w:after="80" w:line="276"/>
      </w:pPr>
      <w:r>
        <w:rPr>
          <w:rFonts w:ascii="Arial" w:cs="Arial" w:eastAsia="Arial" w:hAnsi="Arial"/>
          <w:b/>
          <w:bCs/>
          <w:color w:val="2A2A2B"/>
          <w:sz w:val="19"/>
          <w:szCs w:val="19"/>
        </w:rPr>
        <w:t xml:space="preserve">Concentric rings. </w:t>
      </w:r>
      <w:r>
        <w:rPr>
          <w:rFonts w:ascii="Arial" w:cs="Arial" w:eastAsia="Arial" w:hAnsi="Arial"/>
          <w:color w:val="2A2A2B"/>
          <w:sz w:val="19"/>
          <w:szCs w:val="19"/>
        </w:rPr>
        <w:t xml:space="preserve">Target rings as structure — dividers, low-opacity watermarks, loading states, ladder and ranking graphics.</w:t>
      </w:r>
    </w:p>
    <w:p>
      <w:pPr>
        <w:pStyle w:val="ListParagraph"/>
        <w:numPr>
          <w:ilvl w:val="0"/>
          <w:numId w:val="1"/>
        </w:numPr>
        <w:spacing w:after="80" w:line="276"/>
      </w:pPr>
      <w:r>
        <w:rPr>
          <w:rFonts w:ascii="Arial" w:cs="Arial" w:eastAsia="Arial" w:hAnsi="Arial"/>
          <w:b/>
          <w:bCs/>
          <w:color w:val="2A2A2B"/>
          <w:sz w:val="19"/>
          <w:szCs w:val="19"/>
        </w:rPr>
        <w:t xml:space="preserve">The centre point. </w:t>
      </w:r>
      <w:r>
        <w:rPr>
          <w:rFonts w:ascii="Arial" w:cs="Arial" w:eastAsia="Arial" w:hAnsi="Arial"/>
          <w:color w:val="2A2A2B"/>
          <w:sz w:val="19"/>
          <w:szCs w:val="19"/>
        </w:rPr>
        <w:t xml:space="preserve">A single red dot as marker: list bullets, active navigation, map pins, current position on a ladder.</w:t>
      </w:r>
    </w:p>
    <w:p>
      <w:pPr>
        <w:pStyle w:val="ListParagraph"/>
        <w:numPr>
          <w:ilvl w:val="0"/>
          <w:numId w:val="1"/>
        </w:numPr>
        <w:spacing w:after="80" w:line="276"/>
      </w:pPr>
      <w:r>
        <w:rPr>
          <w:rFonts w:ascii="Arial" w:cs="Arial" w:eastAsia="Arial" w:hAnsi="Arial"/>
          <w:b/>
          <w:bCs/>
          <w:color w:val="2A2A2B"/>
          <w:sz w:val="19"/>
          <w:szCs w:val="19"/>
        </w:rPr>
        <w:t xml:space="preserve">Segmented rule. </w:t>
      </w:r>
      <w:r>
        <w:rPr>
          <w:rFonts w:ascii="Arial" w:cs="Arial" w:eastAsia="Arial" w:hAnsi="Arial"/>
          <w:color w:val="2A2A2B"/>
          <w:sz w:val="19"/>
          <w:szCs w:val="19"/>
        </w:rPr>
        <w:t xml:space="preserve">The broken-ring geometry translated into a horizontal divider.</w:t>
      </w:r>
    </w:p>
    <w:p>
      <w:pPr>
        <w:pStyle w:val="ListParagraph"/>
        <w:numPr>
          <w:ilvl w:val="0"/>
          <w:numId w:val="1"/>
        </w:numPr>
        <w:spacing w:after="80" w:line="276"/>
      </w:pPr>
      <w:r>
        <w:rPr>
          <w:rFonts w:ascii="Arial" w:cs="Arial" w:eastAsia="Arial" w:hAnsi="Arial"/>
          <w:b/>
          <w:bCs/>
          <w:color w:val="2A2A2B"/>
          <w:sz w:val="19"/>
          <w:szCs w:val="19"/>
        </w:rPr>
        <w:t xml:space="preserve">Lane numerals. </w:t>
      </w:r>
      <w:r>
        <w:rPr>
          <w:rFonts w:ascii="Arial" w:cs="Arial" w:eastAsia="Arial" w:hAnsi="Arial"/>
          <w:color w:val="2A2A2B"/>
          <w:sz w:val="19"/>
          <w:szCs w:val="19"/>
        </w:rPr>
        <w:t xml:space="preserve">Large tabular figures echoing the numbered firing points. Results, standings, specifications.</w:t>
      </w:r>
    </w:p>
    <w:p>
      <w:pPr>
        <w:pStyle w:val="ListParagraph"/>
        <w:numPr>
          <w:ilvl w:val="0"/>
          <w:numId w:val="1"/>
        </w:numPr>
        <w:spacing w:after="80" w:line="276"/>
      </w:pPr>
      <w:r>
        <w:rPr>
          <w:rFonts w:ascii="Arial" w:cs="Arial" w:eastAsia="Arial" w:hAnsi="Arial"/>
          <w:b/>
          <w:bCs/>
          <w:color w:val="2A2A2B"/>
          <w:sz w:val="19"/>
          <w:szCs w:val="19"/>
        </w:rPr>
        <w:t xml:space="preserve">Mesh and lattice. </w:t>
      </w:r>
      <w:r>
        <w:rPr>
          <w:rFonts w:ascii="Arial" w:cs="Arial" w:eastAsia="Arial" w:hAnsi="Arial"/>
          <w:color w:val="2A2A2B"/>
          <w:sz w:val="19"/>
          <w:szCs w:val="19"/>
        </w:rPr>
        <w:t xml:space="preserve">The steel screens and timber lattice as overlay pattern at low opacity — taken from the building, not invented.</w:t>
      </w:r>
    </w:p>
    <w:p>
      <w:pPr>
        <w:pStyle w:val="ListParagraph"/>
        <w:numPr>
          <w:ilvl w:val="0"/>
          <w:numId w:val="1"/>
        </w:numPr>
        <w:spacing w:after="80" w:line="276"/>
      </w:pPr>
      <w:r>
        <w:rPr>
          <w:rFonts w:ascii="Arial" w:cs="Arial" w:eastAsia="Arial" w:hAnsi="Arial"/>
          <w:b/>
          <w:bCs/>
          <w:color w:val="2A2A2B"/>
          <w:sz w:val="19"/>
          <w:szCs w:val="19"/>
        </w:rPr>
        <w:t xml:space="preserve">Terrazzo. </w:t>
      </w:r>
      <w:r>
        <w:rPr>
          <w:rFonts w:ascii="Arial" w:cs="Arial" w:eastAsia="Arial" w:hAnsi="Arial"/>
          <w:color w:val="2A2A2B"/>
          <w:sz w:val="19"/>
          <w:szCs w:val="19"/>
        </w:rPr>
        <w:t xml:space="preserve">Photographic terrazzo as a section ground. Distinctive, warm, unmistakably this club.</w:t>
      </w:r>
    </w:p>
    <w:p>
      <w:pPr>
        <w:spacing w:after="130" w:line="288"/>
      </w:pPr>
      <w:r>
        <w:rPr>
          <w:rFonts w:ascii="Arial" w:cs="Arial" w:eastAsia="Arial" w:hAnsi="Arial"/>
          <w:b/>
          <w:bCs/>
          <w:color w:val="2A2A2B"/>
          <w:sz w:val="19"/>
          <w:szCs w:val="19"/>
        </w:rPr>
        <w:t xml:space="preserve">Restraint: </w:t>
      </w:r>
      <w:r>
        <w:rPr>
          <w:rFonts w:ascii="Arial" w:cs="Arial" w:eastAsia="Arial" w:hAnsi="Arial"/>
          <w:color w:val="2A2A2B"/>
          <w:sz w:val="19"/>
          <w:szCs w:val="19"/>
        </w:rPr>
        <w:t xml:space="preserve">one device per composition. Rings, dots, mesh and oversized numerals in the same frame produce noise, and noise is the opposite of precision.</w:t>
      </w:r>
    </w:p>
    <w:p>
      <w:pPr>
        <w:spacing w:after="50" w:before="40"/>
      </w:pPr>
      <w:r>
        <w:rPr>
          <w:rFonts w:ascii="Arial" w:cs="Arial" w:eastAsia="Arial" w:hAnsi="Arial"/>
          <w:b/>
          <w:bCs/>
          <w:color w:val="ED3036"/>
          <w:spacing w:val="70"/>
          <w:sz w:val="15"/>
          <w:szCs w:val="15"/>
        </w:rPr>
        <w:t xml:space="preserve">SECTION 9</w:t>
      </w:r>
    </w:p>
    <w:p>
      <w:pPr>
        <w:spacing w:after="130" w:before="300"/>
      </w:pPr>
      <w:r>
        <w:rPr>
          <w:rFonts w:ascii="Arial" w:cs="Arial" w:eastAsia="Arial" w:hAnsi="Arial"/>
          <w:b/>
          <w:bCs/>
          <w:color w:val="2A2A2B"/>
          <w:spacing w:val="-4"/>
          <w:sz w:val="30"/>
          <w:szCs w:val="30"/>
        </w:rPr>
        <w:t xml:space="preserve">Voice and tone</w:t>
      </w:r>
    </w:p>
    <w:p>
      <w:pPr>
        <w:spacing w:after="130" w:line="288"/>
      </w:pPr>
      <w:r>
        <w:rPr>
          <w:rFonts w:ascii="Arial" w:cs="Arial" w:eastAsia="Arial" w:hAnsi="Arial"/>
          <w:color w:val="2A2A2B"/>
          <w:sz w:val="19"/>
          <w:szCs w:val="19"/>
        </w:rPr>
        <w:t xml:space="preserve">Assured, spare, hospitable. The confidence of an institution with the welcome of a good host.</w:t>
      </w:r>
    </w:p>
    <w:tbl>
      <w:tblPr>
        <w:tblW w:type="pct" w:w="100%"/>
        <w:tblBorders>
          <w:top w:val="single" w:color="D8D4CD" w:sz="2"/>
          <w:left w:val="none"/>
          <w:bottom w:val="single" w:color="D8D4CD" w:sz="2"/>
          <w:right w:val="none"/>
          <w:insideH w:val="single" w:color="D8D4CD" w:sz="2"/>
          <w:insideV w:val="none"/>
        </w:tblBorders>
      </w:tblPr>
      <w:tblGrid>
        <w:gridCol w:w="4680"/>
        <w:gridCol w:w="4680"/>
      </w:tblGrid>
      <w:tr>
        <w:trPr>
          <w:tblHeader/>
        </w:trPr>
        <w:tc>
          <w:tcPr>
            <w:tcW w:type="dxa" w:w="468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WE SAY</w:t>
            </w:r>
          </w:p>
        </w:tc>
        <w:tc>
          <w:tcPr>
            <w:tcW w:type="dxa" w:w="468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WE NEVER SAY</w:t>
            </w:r>
          </w:p>
        </w:tc>
      </w:tr>
      <w:tr>
        <w:tc>
          <w:tcPr>
            <w:tcW w:type="dxa" w:w="4680"/>
            <w:tcMar>
              <w:top w:type="dxa" w:w="110"/>
              <w:left w:type="dxa" w:w="140"/>
              <w:bottom w:type="dxa" w:w="110"/>
              <w:right w:type="dxa" w:w="140"/>
            </w:tcMar>
          </w:tcPr>
          <w:p>
            <w:pPr>
              <w:spacing w:after="60" w:line="264"/>
            </w:pPr>
            <w:r>
              <w:rPr>
                <w:rFonts w:ascii="Arial" w:cs="Arial" w:eastAsia="Arial" w:hAnsi="Arial"/>
                <w:b w:val="false"/>
                <w:bCs w:val="false"/>
                <w:color w:val="2A2A2B"/>
                <w:sz w:val="18"/>
                <w:szCs w:val="18"/>
              </w:rPr>
              <w:t xml:space="preserve">“Everything is provided.”</w:t>
            </w:r>
          </w:p>
          <w:p>
            <w:pPr>
              <w:spacing w:after="60" w:line="264"/>
            </w:pPr>
            <w:r>
              <w:rPr>
                <w:rFonts w:ascii="Arial" w:cs="Arial" w:eastAsia="Arial" w:hAnsi="Arial"/>
                <w:b w:val="false"/>
                <w:bCs w:val="false"/>
                <w:color w:val="2A2A2B"/>
                <w:sz w:val="18"/>
                <w:szCs w:val="18"/>
              </w:rPr>
              <w:t xml:space="preserve">“Built to international competition standard.”</w:t>
            </w:r>
          </w:p>
          <w:p>
            <w:pPr>
              <w:spacing w:after="60" w:line="264"/>
            </w:pPr>
            <w:r>
              <w:rPr>
                <w:rFonts w:ascii="Arial" w:cs="Arial" w:eastAsia="Arial" w:hAnsi="Arial"/>
                <w:b w:val="false"/>
                <w:bCs w:val="false"/>
                <w:color w:val="2A2A2B"/>
                <w:sz w:val="18"/>
                <w:szCs w:val="18"/>
              </w:rPr>
              <w:t xml:space="preserve">“No experience needed.”</w:t>
            </w:r>
          </w:p>
          <w:p>
            <w:pPr>
              <w:spacing w:after="60" w:line="264"/>
            </w:pPr>
            <w:r>
              <w:rPr>
                <w:rFonts w:ascii="Arial" w:cs="Arial" w:eastAsia="Arial" w:hAnsi="Arial"/>
                <w:b w:val="false"/>
                <w:bCs w:val="false"/>
                <w:color w:val="2A2A2B"/>
                <w:sz w:val="18"/>
                <w:szCs w:val="18"/>
              </w:rPr>
              <w:t xml:space="preserve">“Bring someone who doesn’t shoot.”</w:t>
            </w:r>
          </w:p>
          <w:p>
            <w:pPr>
              <w:spacing w:after="0" w:line="264"/>
            </w:pPr>
            <w:r>
              <w:rPr>
                <w:rFonts w:ascii="Arial" w:cs="Arial" w:eastAsia="Arial" w:hAnsi="Arial"/>
                <w:b w:val="false"/>
                <w:bCs w:val="false"/>
                <w:color w:val="2A2A2B"/>
                <w:sz w:val="18"/>
                <w:szCs w:val="18"/>
              </w:rPr>
              <w:t xml:space="preserve">“Anyone can play; members are the club.”</w:t>
            </w:r>
          </w:p>
        </w:tc>
        <w:tc>
          <w:tcPr>
            <w:tcW w:type="dxa" w:w="4680"/>
            <w:tcMar>
              <w:top w:type="dxa" w:w="110"/>
              <w:left w:type="dxa" w:w="140"/>
              <w:bottom w:type="dxa" w:w="110"/>
              <w:right w:type="dxa" w:w="140"/>
            </w:tcMar>
          </w:tcPr>
          <w:p>
            <w:pPr>
              <w:spacing w:after="60" w:line="264"/>
            </w:pPr>
            <w:r>
              <w:rPr>
                <w:rFonts w:ascii="Arial" w:cs="Arial" w:eastAsia="Arial" w:hAnsi="Arial"/>
                <w:b w:val="false"/>
                <w:bCs w:val="false"/>
                <w:color w:val="5F6469"/>
                <w:sz w:val="18"/>
                <w:szCs w:val="18"/>
              </w:rPr>
              <w:t xml:space="preserve">“Tactical”, “operator”, “dominate”, “firepower”</w:t>
            </w:r>
          </w:p>
          <w:p>
            <w:pPr>
              <w:spacing w:after="60" w:line="264"/>
            </w:pPr>
            <w:r>
              <w:rPr>
                <w:rFonts w:ascii="Arial" w:cs="Arial" w:eastAsia="Arial" w:hAnsi="Arial"/>
                <w:b w:val="false"/>
                <w:bCs w:val="false"/>
                <w:color w:val="5F6469"/>
                <w:sz w:val="18"/>
                <w:szCs w:val="18"/>
              </w:rPr>
              <w:t xml:space="preserve">“Unleash”, “adrenaline”, “ultimate experience”</w:t>
            </w:r>
          </w:p>
          <w:p>
            <w:pPr>
              <w:spacing w:after="60" w:line="264"/>
            </w:pPr>
            <w:r>
              <w:rPr>
                <w:rFonts w:ascii="Arial" w:cs="Arial" w:eastAsia="Arial" w:hAnsi="Arial"/>
                <w:b w:val="false"/>
                <w:bCs w:val="false"/>
                <w:color w:val="5F6469"/>
                <w:sz w:val="18"/>
                <w:szCs w:val="18"/>
              </w:rPr>
              <w:t xml:space="preserve">“Exclusive” as a boast rather than a fact</w:t>
            </w:r>
          </w:p>
          <w:p>
            <w:pPr>
              <w:spacing w:after="60" w:line="264"/>
            </w:pPr>
            <w:r>
              <w:rPr>
                <w:rFonts w:ascii="Arial" w:cs="Arial" w:eastAsia="Arial" w:hAnsi="Arial"/>
                <w:b w:val="false"/>
                <w:bCs w:val="false"/>
                <w:color w:val="5F6469"/>
                <w:sz w:val="18"/>
                <w:szCs w:val="18"/>
              </w:rPr>
              <w:t xml:space="preserve">Anything implying self-defence or personal security</w:t>
            </w:r>
          </w:p>
          <w:p>
            <w:pPr>
              <w:spacing w:after="0" w:line="264"/>
            </w:pPr>
            <w:r>
              <w:rPr>
                <w:rFonts w:ascii="Arial" w:cs="Arial" w:eastAsia="Arial" w:hAnsi="Arial"/>
                <w:b w:val="false"/>
                <w:bCs w:val="false"/>
                <w:color w:val="5F6469"/>
                <w:sz w:val="18"/>
                <w:szCs w:val="18"/>
              </w:rPr>
              <w:t xml:space="preserve">Hype, exclamation marks, urgency countdowns</w:t>
            </w:r>
          </w:p>
        </w:tc>
      </w:tr>
    </w:tbl>
    <w:p>
      <w:pPr>
        <w:spacing w:after="90" w:before="220"/>
      </w:pPr>
      <w:r>
        <w:rPr>
          <w:rFonts w:ascii="Arial" w:cs="Arial" w:eastAsia="Arial" w:hAnsi="Arial"/>
          <w:b/>
          <w:bCs/>
          <w:color w:val="2A2A2B"/>
          <w:sz w:val="22"/>
          <w:szCs w:val="22"/>
        </w:rPr>
        <w:t xml:space="preserve">Rules</w:t>
      </w:r>
    </w:p>
    <w:p>
      <w:pPr>
        <w:pStyle w:val="ListParagraph"/>
        <w:numPr>
          <w:ilvl w:val="0"/>
          <w:numId w:val="1"/>
        </w:numPr>
        <w:spacing w:after="80" w:line="276"/>
      </w:pPr>
      <w:r>
        <w:rPr>
          <w:rFonts w:ascii="Arial" w:cs="Arial" w:eastAsia="Arial" w:hAnsi="Arial"/>
          <w:color w:val="2A2A2B"/>
          <w:sz w:val="19"/>
          <w:szCs w:val="19"/>
        </w:rPr>
        <w:t xml:space="preserve">Short sentences, plain words. The brand is confident enough to be simple.</w:t>
      </w:r>
    </w:p>
    <w:p>
      <w:pPr>
        <w:pStyle w:val="ListParagraph"/>
        <w:numPr>
          <w:ilvl w:val="0"/>
          <w:numId w:val="1"/>
        </w:numPr>
        <w:spacing w:after="80" w:line="276"/>
      </w:pPr>
      <w:r>
        <w:rPr>
          <w:rFonts w:ascii="Arial" w:cs="Arial" w:eastAsia="Arial" w:hAnsi="Arial"/>
          <w:color w:val="2A2A2B"/>
          <w:sz w:val="19"/>
          <w:szCs w:val="19"/>
        </w:rPr>
        <w:t xml:space="preserve">Describe the sport, the standard and the hospitality. Never the weapon.</w:t>
      </w:r>
    </w:p>
    <w:p>
      <w:pPr>
        <w:pStyle w:val="ListParagraph"/>
        <w:numPr>
          <w:ilvl w:val="0"/>
          <w:numId w:val="1"/>
        </w:numPr>
        <w:spacing w:after="80" w:line="276"/>
      </w:pPr>
      <w:r>
        <w:rPr>
          <w:rFonts w:ascii="Arial" w:cs="Arial" w:eastAsia="Arial" w:hAnsi="Arial"/>
          <w:color w:val="2A2A2B"/>
          <w:sz w:val="19"/>
          <w:szCs w:val="19"/>
        </w:rPr>
        <w:t xml:space="preserve">State facts rather than adjectives. “Eight lanes, machine-scored” beats “world-class facilities.”</w:t>
      </w:r>
    </w:p>
    <w:p>
      <w:pPr>
        <w:pStyle w:val="ListParagraph"/>
        <w:numPr>
          <w:ilvl w:val="0"/>
          <w:numId w:val="1"/>
        </w:numPr>
        <w:spacing w:after="80" w:line="276"/>
      </w:pPr>
      <w:r>
        <w:rPr>
          <w:rFonts w:ascii="Arial" w:cs="Arial" w:eastAsia="Arial" w:hAnsi="Arial"/>
          <w:color w:val="2A2A2B"/>
          <w:sz w:val="19"/>
          <w:szCs w:val="19"/>
        </w:rPr>
        <w:t xml:space="preserve">Address the beginner and the spectator directly, without condescension. Assume intelligence, not knowledge.</w:t>
      </w:r>
    </w:p>
    <w:p>
      <w:pPr>
        <w:pStyle w:val="ListParagraph"/>
        <w:numPr>
          <w:ilvl w:val="0"/>
          <w:numId w:val="1"/>
        </w:numPr>
        <w:spacing w:after="80" w:line="276"/>
      </w:pPr>
      <w:r>
        <w:rPr>
          <w:rFonts w:ascii="Arial" w:cs="Arial" w:eastAsia="Arial" w:hAnsi="Arial"/>
          <w:color w:val="2A2A2B"/>
          <w:sz w:val="19"/>
          <w:szCs w:val="19"/>
        </w:rPr>
        <w:t xml:space="preserve">Never publish a claim that is not true on the day it appears.</w:t>
      </w:r>
    </w:p>
    <w:p>
      <w:r>
        <w:br w:type="page"/>
      </w:r>
    </w:p>
    <w:p>
      <w:pPr>
        <w:spacing w:after="50" w:before="40"/>
      </w:pPr>
      <w:r>
        <w:rPr>
          <w:rFonts w:ascii="Arial" w:cs="Arial" w:eastAsia="Arial" w:hAnsi="Arial"/>
          <w:b/>
          <w:bCs/>
          <w:color w:val="ED3036"/>
          <w:spacing w:val="70"/>
          <w:sz w:val="15"/>
          <w:szCs w:val="15"/>
        </w:rPr>
        <w:t xml:space="preserve">SECTION 10</w:t>
      </w:r>
    </w:p>
    <w:p>
      <w:pPr>
        <w:spacing w:after="130" w:before="0"/>
      </w:pPr>
      <w:r>
        <w:rPr>
          <w:rFonts w:ascii="Arial" w:cs="Arial" w:eastAsia="Arial" w:hAnsi="Arial"/>
          <w:b/>
          <w:bCs/>
          <w:color w:val="2A2A2B"/>
          <w:spacing w:val="-4"/>
          <w:sz w:val="30"/>
          <w:szCs w:val="30"/>
        </w:rPr>
        <w:t xml:space="preserve">Applications</w:t>
      </w:r>
    </w:p>
    <w:tbl>
      <w:tblPr>
        <w:tblW w:type="pct" w:w="100%"/>
        <w:tblBorders>
          <w:top w:val="single" w:color="D8D4CD" w:sz="2"/>
          <w:left w:val="none"/>
          <w:bottom w:val="single" w:color="D8D4CD" w:sz="2"/>
          <w:right w:val="none"/>
          <w:insideH w:val="single" w:color="D8D4CD" w:sz="2"/>
          <w:insideV w:val="none"/>
        </w:tblBorders>
      </w:tblPr>
      <w:tblGrid>
        <w:gridCol w:w="1900"/>
        <w:gridCol w:w="7460"/>
      </w:tblGrid>
      <w:tr>
        <w:trPr>
          <w:tblHeader/>
        </w:trPr>
        <w:tc>
          <w:tcPr>
            <w:tcW w:type="dxa" w:w="190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SURFACE</w:t>
            </w:r>
          </w:p>
        </w:tc>
        <w:tc>
          <w:tcPr>
            <w:tcW w:type="dxa" w:w="7460"/>
            <w:shd w:fill="2A2A2B" w:val="clear"/>
            <w:tcMar>
              <w:top w:type="dxa" w:w="90"/>
              <w:left w:type="dxa" w:w="140"/>
              <w:bottom w:type="dxa" w:w="90"/>
              <w:right w:type="dxa" w:w="140"/>
            </w:tcMar>
          </w:tcPr>
          <w:p>
            <w:r>
              <w:rPr>
                <w:rFonts w:ascii="Arial" w:cs="Arial" w:eastAsia="Arial" w:hAnsi="Arial"/>
                <w:b/>
                <w:bCs/>
                <w:color w:val="F6F5F2"/>
                <w:spacing w:val="40"/>
                <w:sz w:val="15"/>
                <w:szCs w:val="15"/>
              </w:rPr>
              <w:t xml:space="preserve">DIRECTION</w:t>
            </w:r>
          </w:p>
        </w:tc>
      </w:tr>
      <w:tr>
        <w:tc>
          <w:tcPr>
            <w:tcW w:type="dxa" w:w="19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Website</w:t>
            </w:r>
          </w:p>
        </w:tc>
        <w:tc>
          <w:tcPr>
            <w:tcW w:type="dxa" w:w="74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Chalk and Terrazzo grounds, generous whitespace, photography-led across both registers. Red reserved for primary actions. Blue for open contexts, teal for member contexts. Full lockup in the header.</w:t>
            </w:r>
          </w:p>
        </w:tc>
      </w:tr>
      <w:tr>
        <w:tc>
          <w:tcPr>
            <w:tcW w:type="dxa" w:w="19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Signage</w:t>
            </w:r>
          </w:p>
        </w:tc>
        <w:tc>
          <w:tcPr>
            <w:tcW w:type="dxa" w:w="74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Full lockup with descriptor. Warm materials in the building’s own register — teak, steel, terrazzo — not applied vinyl.</w:t>
            </w:r>
          </w:p>
        </w:tc>
      </w:tr>
      <w:tr>
        <w:tc>
          <w:tcPr>
            <w:tcW w:type="dxa" w:w="19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Merchandise</w:t>
            </w:r>
          </w:p>
        </w:tc>
        <w:tc>
          <w:tcPr>
            <w:tcW w:type="dxa" w:w="74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Club identity equipment, not souvenirs. Caps, shirts, bottles, range bags. Reticle-only or stacked lockup, single-colour. Members’ items may carry a detail the public cannot buy — merchandise is a belonging signal and should be treated as one.</w:t>
            </w:r>
          </w:p>
        </w:tc>
      </w:tr>
      <w:tr>
        <w:tc>
          <w:tcPr>
            <w:tcW w:type="dxa" w:w="19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Membership card</w:t>
            </w:r>
          </w:p>
        </w:tc>
        <w:tc>
          <w:tcPr>
            <w:tcW w:type="dxa" w:w="74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Terrazzo or teak reference. Reticle, name, tier, year of joining. Founding members permanently and visibly distinguished.</w:t>
            </w:r>
          </w:p>
        </w:tc>
      </w:tr>
      <w:tr>
        <w:tc>
          <w:tcPr>
            <w:tcW w:type="dxa" w:w="19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Deck and hospitality</w:t>
            </w:r>
          </w:p>
        </w:tc>
        <w:tc>
          <w:tcPr>
            <w:tcW w:type="dxa" w:w="74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Soffit Blue for the public deck, VIP Teal for the VIP deck — carried into menus, table numbers and signage so the tiering is felt, not announced.</w:t>
            </w:r>
          </w:p>
        </w:tc>
      </w:tr>
      <w:tr>
        <w:tc>
          <w:tcPr>
            <w:tcW w:type="dxa" w:w="19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Social</w:t>
            </w:r>
          </w:p>
        </w:tc>
        <w:tc>
          <w:tcPr>
            <w:tcW w:type="dxa" w:w="74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Stacked lockup as avatar; descriptor always in the bio. Night imagery leads. Standings, results and member milestones become the content engine once Leagues launches.</w:t>
            </w:r>
          </w:p>
        </w:tc>
      </w:tr>
      <w:tr>
        <w:tc>
          <w:tcPr>
            <w:tcW w:type="dxa" w:w="1900"/>
            <w:tcMar>
              <w:top w:type="dxa" w:w="110"/>
              <w:left w:type="dxa" w:w="140"/>
              <w:bottom w:type="dxa" w:w="110"/>
              <w:right w:type="dxa" w:w="140"/>
            </w:tcMar>
          </w:tcPr>
          <w:p>
            <w:pPr>
              <w:spacing w:after="0" w:line="264"/>
            </w:pPr>
            <w:r>
              <w:rPr>
                <w:rFonts w:ascii="Arial" w:cs="Arial" w:eastAsia="Arial" w:hAnsi="Arial"/>
                <w:b/>
                <w:bCs/>
                <w:color w:val="2A2A2B"/>
                <w:sz w:val="18"/>
                <w:szCs w:val="18"/>
              </w:rPr>
              <w:t xml:space="preserve">Documents</w:t>
            </w:r>
          </w:p>
        </w:tc>
        <w:tc>
          <w:tcPr>
            <w:tcW w:type="dxa" w:w="7460"/>
            <w:tcMar>
              <w:top w:type="dxa" w:w="110"/>
              <w:left w:type="dxa" w:w="140"/>
              <w:bottom w:type="dxa" w:w="110"/>
              <w:right w:type="dxa" w:w="140"/>
            </w:tcMar>
          </w:tcPr>
          <w:p>
            <w:pPr>
              <w:spacing w:after="0" w:line="264"/>
            </w:pPr>
            <w:r>
              <w:rPr>
                <w:rFonts w:ascii="Arial" w:cs="Arial" w:eastAsia="Arial" w:hAnsi="Arial"/>
                <w:b w:val="false"/>
                <w:bCs w:val="false"/>
                <w:color w:val="5F6469"/>
                <w:sz w:val="18"/>
                <w:szCs w:val="18"/>
              </w:rPr>
              <w:t xml:space="preserve">Chalk ground, Reticle Black type, red rule under the masthead. As set in this document.</w:t>
            </w:r>
          </w:p>
        </w:tc>
      </w:tr>
    </w:tbl>
    <w:p>
      <w:pPr>
        <w:spacing w:after="50" w:before="40"/>
      </w:pPr>
      <w:r>
        <w:rPr>
          <w:rFonts w:ascii="Arial" w:cs="Arial" w:eastAsia="Arial" w:hAnsi="Arial"/>
          <w:b/>
          <w:bCs/>
          <w:color w:val="ED3036"/>
          <w:spacing w:val="70"/>
          <w:sz w:val="15"/>
          <w:szCs w:val="15"/>
        </w:rPr>
        <w:t xml:space="preserve">SECTION 11</w:t>
      </w:r>
    </w:p>
    <w:p>
      <w:pPr>
        <w:spacing w:after="130" w:before="300"/>
      </w:pPr>
      <w:r>
        <w:rPr>
          <w:rFonts w:ascii="Arial" w:cs="Arial" w:eastAsia="Arial" w:hAnsi="Arial"/>
          <w:b/>
          <w:bCs/>
          <w:color w:val="2A2A2B"/>
          <w:spacing w:val="-4"/>
          <w:sz w:val="30"/>
          <w:szCs w:val="30"/>
        </w:rPr>
        <w:t xml:space="preserve">Summary of what to avoid</w:t>
      </w:r>
    </w:p>
    <w:p>
      <w:pPr>
        <w:pStyle w:val="ListParagraph"/>
        <w:numPr>
          <w:ilvl w:val="0"/>
          <w:numId w:val="1"/>
        </w:numPr>
        <w:spacing w:after="80" w:line="276"/>
      </w:pPr>
      <w:r>
        <w:rPr>
          <w:rFonts w:ascii="Arial" w:cs="Arial" w:eastAsia="Arial" w:hAnsi="Arial"/>
          <w:color w:val="2A2A2B"/>
          <w:sz w:val="19"/>
          <w:szCs w:val="19"/>
        </w:rPr>
        <w:t xml:space="preserve">Pure black, cool greys, and any palette drift toward gunmetal.</w:t>
      </w:r>
    </w:p>
    <w:p>
      <w:pPr>
        <w:pStyle w:val="ListParagraph"/>
        <w:numPr>
          <w:ilvl w:val="0"/>
          <w:numId w:val="1"/>
        </w:numPr>
        <w:spacing w:after="80" w:line="276"/>
      </w:pPr>
      <w:r>
        <w:rPr>
          <w:rFonts w:ascii="Arial" w:cs="Arial" w:eastAsia="Arial" w:hAnsi="Arial"/>
          <w:color w:val="2A2A2B"/>
          <w:sz w:val="19"/>
          <w:szCs w:val="19"/>
        </w:rPr>
        <w:t xml:space="preserve">Red as a background, header or dominant field.</w:t>
      </w:r>
    </w:p>
    <w:p>
      <w:pPr>
        <w:pStyle w:val="ListParagraph"/>
        <w:numPr>
          <w:ilvl w:val="0"/>
          <w:numId w:val="1"/>
        </w:numPr>
        <w:spacing w:after="80" w:line="276"/>
      </w:pPr>
      <w:r>
        <w:rPr>
          <w:rFonts w:ascii="Arial" w:cs="Arial" w:eastAsia="Arial" w:hAnsi="Arial"/>
          <w:color w:val="2A2A2B"/>
          <w:sz w:val="19"/>
          <w:szCs w:val="19"/>
        </w:rPr>
        <w:t xml:space="preserve">Silhouette human targets, firearm imagery, cartridges, bullet holes.</w:t>
      </w:r>
    </w:p>
    <w:p>
      <w:pPr>
        <w:pStyle w:val="ListParagraph"/>
        <w:numPr>
          <w:ilvl w:val="0"/>
          <w:numId w:val="1"/>
        </w:numPr>
        <w:spacing w:after="80" w:line="276"/>
      </w:pPr>
      <w:r>
        <w:rPr>
          <w:rFonts w:ascii="Arial" w:cs="Arial" w:eastAsia="Arial" w:hAnsi="Arial"/>
          <w:b/>
          <w:bCs/>
          <w:color w:val="2A2A2B"/>
          <w:sz w:val="19"/>
          <w:szCs w:val="19"/>
        </w:rPr>
        <w:t xml:space="preserve">Stencil, military or distressed lettering anywhere beyond the existing wordmark. </w:t>
      </w:r>
      <w:r>
        <w:rPr>
          <w:rFonts w:ascii="Arial" w:cs="Arial" w:eastAsia="Arial" w:hAnsi="Arial"/>
          <w:color w:val="2A2A2B"/>
          <w:sz w:val="19"/>
          <w:szCs w:val="19"/>
        </w:rPr>
        <w:t xml:space="preserve">The system’s job is to counterweight the mark, not amplify it.</w:t>
      </w:r>
    </w:p>
    <w:p>
      <w:pPr>
        <w:pStyle w:val="ListParagraph"/>
        <w:numPr>
          <w:ilvl w:val="0"/>
          <w:numId w:val="1"/>
        </w:numPr>
        <w:spacing w:after="80" w:line="276"/>
      </w:pPr>
      <w:r>
        <w:rPr>
          <w:rFonts w:ascii="Arial" w:cs="Arial" w:eastAsia="Arial" w:hAnsi="Arial"/>
          <w:color w:val="2A2A2B"/>
          <w:sz w:val="19"/>
          <w:szCs w:val="19"/>
        </w:rPr>
        <w:t xml:space="preserve">The wordmark without its descriptor on any first-contact surface.</w:t>
      </w:r>
    </w:p>
    <w:p>
      <w:pPr>
        <w:pStyle w:val="ListParagraph"/>
        <w:numPr>
          <w:ilvl w:val="0"/>
          <w:numId w:val="1"/>
        </w:numPr>
        <w:spacing w:after="80" w:line="276"/>
      </w:pPr>
      <w:r>
        <w:rPr>
          <w:rFonts w:ascii="Arial" w:cs="Arial" w:eastAsia="Arial" w:hAnsi="Arial"/>
          <w:color w:val="2A2A2B"/>
          <w:sz w:val="19"/>
          <w:szCs w:val="19"/>
        </w:rPr>
        <w:t xml:space="preserve">Photographing only the lanes. The decks and the bar are half the offer.</w:t>
      </w:r>
    </w:p>
    <w:p>
      <w:pPr>
        <w:pStyle w:val="ListParagraph"/>
        <w:numPr>
          <w:ilvl w:val="0"/>
          <w:numId w:val="1"/>
        </w:numPr>
        <w:spacing w:after="80" w:line="276"/>
      </w:pPr>
      <w:r>
        <w:rPr>
          <w:rFonts w:ascii="Arial" w:cs="Arial" w:eastAsia="Arial" w:hAnsi="Arial"/>
          <w:color w:val="2A2A2B"/>
          <w:sz w:val="19"/>
          <w:szCs w:val="19"/>
        </w:rPr>
        <w:t xml:space="preserve">Any content revealing facility layout, storage or security arrangements.</w:t>
      </w:r>
    </w:p>
    <w:p>
      <w:pPr>
        <w:pBdr>
          <w:bottom w:val="single" w:color="D8D4CD" w:sz="6"/>
        </w:pBdr>
        <w:spacing w:after="130" w:before="110"/>
      </w:pPr>
      <w:r>
        <w:t xml:space="preserve"/>
      </w:r>
    </w:p>
    <w:p>
      <w:pPr>
        <w:spacing w:after="130" w:line="288"/>
      </w:pPr>
      <w:r>
        <w:rPr>
          <w:rFonts w:ascii="Arial" w:cs="Arial" w:eastAsia="Arial" w:hAnsi="Arial"/>
          <w:b/>
          <w:bCs/>
          <w:color w:val="ED3036"/>
          <w:sz w:val="19"/>
          <w:szCs w:val="19"/>
        </w:rPr>
        <w:t xml:space="preserve">One test for every decision. </w:t>
      </w:r>
      <w:r>
        <w:rPr>
          <w:rFonts w:ascii="Arial" w:cs="Arial" w:eastAsia="Arial" w:hAnsi="Arial"/>
          <w:color w:val="2A2A2B"/>
          <w:sz w:val="19"/>
          <w:szCs w:val="19"/>
        </w:rPr>
        <w:t xml:space="preserve">Does this belong in a building of terrazzo, warm teak and pale blue soffits — or does it belong in an armoury? Build the first. The architecture already chose.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right"/>
    </w:pPr>
    <w:r>
      <w:rPr>
        <w:rFonts w:ascii="Arial" w:cs="Arial" w:eastAsia="Arial" w:hAnsi="Arial"/>
        <w:color w:val="8A8D8F"/>
        <w:spacing w:val="30"/>
        <w:sz w:val="14"/>
        <w:szCs w:val="14"/>
      </w:rPr>
      <w:t xml:space="preserve">THE ARMORY  ·  </w:t>
    </w:r>
    <w:r>
      <w:rPr>
        <w:rFonts w:ascii="Arial" w:cs="Arial" w:eastAsia="Arial" w:hAnsi="Arial"/>
        <w:color w:val="8A8D8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Armory — Brand Guidelines</dc:title>
  <dc:creator>The Armory Shooting Sports Club</dc:creator>
  <cp:lastModifiedBy>Un-named</cp:lastModifiedBy>
  <cp:revision>1</cp:revision>
  <dcterms:created xsi:type="dcterms:W3CDTF">2026-07-29T19:19:13.122Z</dcterms:created>
  <dcterms:modified xsi:type="dcterms:W3CDTF">2026-07-29T19:19:13.135Z</dcterms:modified>
</cp:coreProperties>
</file>

<file path=docProps/custom.xml><?xml version="1.0" encoding="utf-8"?>
<Properties xmlns="http://schemas.openxmlformats.org/officeDocument/2006/custom-properties" xmlns:vt="http://schemas.openxmlformats.org/officeDocument/2006/docPropsVTypes"/>
</file>