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329529778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lineRule="auto" w:line="240"/>
            <w:rPr>
              <w:rFonts w:ascii="Times New Roman" w:hAnsi="Times New Roman" w:cs="Times New Roman"/>
              <w:b/>
              <w:b/>
              <w:sz w:val="24"/>
              <w:szCs w:val="24"/>
              <w:lang w:val="en-US"/>
            </w:rPr>
          </w:pPr>
          <w:r>
            <w:rPr>
              <w:rFonts w:cs="Times New Roman" w:ascii="Times New Roman" w:hAnsi="Times New Roman"/>
              <w:b/>
              <w:sz w:val="24"/>
              <w:szCs w:val="24"/>
              <w:lang w:val="en-US"/>
            </w:rPr>
          </w:r>
          <w:r>
            <w:br w:type="page"/>
          </w:r>
          <w:r>
            <mc:AlternateContent>
              <mc:Choice Requires="wps">
                <w:drawing>
                  <wp:anchor behindDoc="0" distT="0" distB="0" distL="118745" distR="118745" simplePos="0" locked="0" layoutInCell="1" allowOverlap="1" relativeHeight="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1829435</wp:posOffset>
                    </wp:positionV>
                    <wp:extent cx="4752340" cy="2653665"/>
                    <wp:effectExtent l="0" t="0" r="0" b="0"/>
                    <wp:wrapSquare wrapText="bothSides"/>
                    <wp:docPr id="1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2340" cy="2653665"/>
                            </a:xfrm>
                            <a:prstGeom prst="rect"/>
                          </wps:spPr>
                          <wps:txbx>
                            <w:txbxContent>
                              <w:tbl>
                                <w:tblPr>
                                  <w:tblpPr w:bottomFromText="0" w:horzAnchor="margin" w:leftFromText="187" w:rightFromText="187" w:tblpX="0" w:tblpXSpec="center" w:tblpY="2881" w:topFromText="0" w:vertAnchor="margin"/>
                                  <w:tblW w:w="5000" w:type="pct"/>
                                  <w:jc w:val="center"/>
                                  <w:tblInd w:w="0" w:type="dxa"/>
                                  <w:tblBorders>
                                    <w:left w:val="single" w:sz="12" w:space="0" w:color="5B9BD5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noVBand="1" w:noHBand="0" w:lastColumn="0" w:firstColumn="1" w:lastRow="0" w:firstRow="1"/>
                                </w:tblPr>
                                <w:tblGrid>
                                  <w:gridCol w:w="7484"/>
                                </w:tblGrid>
                                <w:tr>
                                  <w:trPr/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fill="auto" w:val="clear"/>
                                      <w:tcMar>
                                        <w:left w:w="100" w:type="dxa"/>
                                      </w:tcMar>
                                    </w:tcPr>
                                    <w:sdt>
                                      <w:sdtPr>
                                        <w:id w:val="832249817"/>
                                        <w:alias w:val="Организация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rPr/>
                                          </w:pPr>
                                          <w:r>
                                            <w:rPr>
                                              <w:color w:val="2E74B5" w:themeColor="accent1" w:themeShade="bf"/>
                                              <w:lang w:val="en-US"/>
                                            </w:rPr>
                                            <w:t>Kyrgyz State Technical University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>
                                  <w:trPr/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fill="auto" w:val="clear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text/>
                                        <w:id w:val="510648639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alias w:val="Название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spacing w:lineRule="auto" w:line="216"/>
                                            <w:rPr/>
                                          </w:pPr>
                                          <w:r>
                                            <w:rPr>
                                              <w:rFonts w:eastAsia="" w:cs="" w:ascii="Calibri Light" w:hAnsi="Calibri Light" w:asciiTheme="majorHAnsi" w:cstheme="majorBidi" w:eastAsiaTheme="majorEastAsia" w:hAnsiTheme="majorHAnsi"/>
                                              <w:color w:val="5B9BD5" w:themeColor="accent1"/>
                                              <w:sz w:val="88"/>
                                              <w:szCs w:val="88"/>
                                              <w:lang w:val="en-US"/>
                                            </w:rPr>
                                            <w:t>Software Engineering Methods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>
                                  <w:trPr/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fill="auto" w:val="clear"/>
                                      <w:tcMar>
                                        <w:left w:w="100" w:type="dxa"/>
                                      </w:tcMar>
                                    </w:tcPr>
                                    <w:sdt>
                                      <w:sdtPr>
                                        <w:text/>
                                        <w:id w:val="1754611456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alias w:val="Подзаголовок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rPr/>
                                          </w:pPr>
                                          <w:r>
                                            <w:rPr>
                                              <w:color w:val="2E74B5" w:themeColor="accent1" w:themeShade="bf"/>
                                              <w:lang w:val="en-US"/>
                                            </w:rPr>
                                            <w:t>Laboratory work 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80000</wp14:pctWidth>
                    </wp14:sizeRelH>
                  </wp:anchor>
                </w:drawing>
              </mc:Choice>
              <mc:Fallback>
                <w:pict>
                  <v:rect style="position:absolute;rotation:0;width:374.2pt;height:208.95pt;mso-wrap-distance-left:9.35pt;mso-wrap-distance-right:9.35pt;mso-wrap-distance-top:0pt;mso-wrap-distance-bottom:0pt;margin-top:144.05pt;mso-position-vertical-relative:margin;margin-left:46.75pt;mso-position-horizontal:center;mso-position-horizontal-relative:margin">
                    <v:textbox inset="0in,0in,0in,0in">
                      <w:txbxContent>
                        <w:tbl>
                          <w:tblPr>
                            <w:tblpPr w:bottomFromText="0" w:horzAnchor="margin" w:leftFromText="187" w:rightFromText="187" w:tblpX="0" w:tblpXSpec="center" w:tblpY="2881" w:topFromText="0" w:vertAnchor="margin"/>
                            <w:tblW w:w="5000" w:type="pct"/>
                            <w:jc w:val="center"/>
                            <w:tblInd w:w="0" w:type="dxa"/>
                            <w:tblBorders>
                              <w:left w:val="single" w:sz="12" w:space="0" w:color="5B9BD5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7484"/>
                          </w:tblGrid>
                          <w:tr>
                            <w:trPr/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fill="auto" w:val="clear"/>
                                <w:tcMar>
                                  <w:left w:w="100" w:type="dxa"/>
                                </w:tcMar>
                              </w:tcPr>
                              <w:sdt>
                                <w:sdtPr>
                                  <w:text/>
                                  <w:id w:val="93454096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alias w:val="Организация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rPr/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lang w:val="en-US"/>
                                      </w:rPr>
                                      <w:t>Kyrgyz State Technical University</w:t>
                                    </w:r>
                                  </w:p>
                                </w:sdtContent>
                              </w:sdt>
                            </w:tc>
                          </w:tr>
                          <w:tr>
                            <w:trPr/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fill="auto" w:val="clear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text/>
                                  <w:id w:val="103536915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alias w:val="Название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lineRule="auto" w:line="216"/>
                                      <w:rPr/>
                                    </w:pPr>
                                    <w:r>
                                      <w:rPr>
                                        <w:rFonts w:eastAsia="" w:cs="" w:ascii="Calibri Light" w:hAnsi="Calibri Light" w:asciiTheme="majorHAnsi" w:cstheme="majorBidi" w:eastAsiaTheme="majorEastAsia" w:hAnsiTheme="majorHAnsi"/>
                                        <w:color w:val="5B9BD5" w:themeColor="accent1"/>
                                        <w:sz w:val="88"/>
                                        <w:szCs w:val="88"/>
                                        <w:lang w:val="en-US"/>
                                      </w:rPr>
                                      <w:t>Software Engineering Methods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>
                            <w:trPr/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fill="auto" w:val="clear"/>
                                <w:tcMar>
                                  <w:left w:w="100" w:type="dxa"/>
                                </w:tcMar>
                              </w:tcPr>
                              <w:sdt>
                                <w:sdtPr>
                                  <w:text/>
                                  <w:id w:val="922571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alias w:val="Подзаголовок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rPr/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lang w:val="en-US"/>
                                      </w:rPr>
                                      <w:t>Laboratory work 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behindDoc="0" distT="0" distB="0" distL="118745" distR="118745" simplePos="0" locked="0" layoutInCell="1" allowOverlap="1" relativeHeight="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573905" cy="858520"/>
                    <wp:effectExtent l="0" t="0" r="0" b="0"/>
                    <wp:wrapSquare wrapText="bothSides"/>
                    <wp:docPr id="2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3905" cy="858520"/>
                            </a:xfrm>
                            <a:prstGeom prst="rect"/>
                          </wps:spPr>
                          <wps:txbx>
                            <w:txbxContent>
                              <w:tbl>
                                <w:tblPr>
                                  <w:tblpPr w:bottomFromText="0" w:horzAnchor="margin" w:leftFromText="187" w:rightFromText="187" w:tblpX="0" w:tblpXSpec="center" w:tblpY="0" w:tblpYSpec="bottom" w:topFromText="0" w:vertAnchor="margin"/>
                                  <w:tblW w:w="5000" w:type="pct"/>
                                  <w:jc w:val="center"/>
                                  <w:tblInd w:w="0" w:type="dxa"/>
                                  <w:tblBorders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noVBand="1" w:noHBand="0" w:lastColumn="0" w:firstColumn="1" w:lastRow="0" w:firstRow="1"/>
                                </w:tblPr>
                                <w:tblGrid>
                                  <w:gridCol w:w="7203"/>
                                </w:tblGrid>
                                <w:tr>
                                  <w:trPr/>
                                  <w:tc>
                                    <w:tcPr>
                                      <w:tcW w:w="7203" w:type="dxa"/>
                                      <w:tcBorders/>
                                      <w:shd w:fill="auto" w:val="clear"/>
                                    </w:tcPr>
                                    <w:sdt>
                                      <w:sdtPr>
                                        <w:id w:val="294815810"/>
                                        <w:alias w:val="Автор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rPr/>
                                          </w:pPr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Abakirov Nursultan SE(eng)1-16</w:t>
                                          </w:r>
                                        </w:p>
                                      </w:sdtContent>
                                    </w:sdt>
                                    <w:p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</w:rPr>
                                      </w:r>
                                    </w:p>
                                  </w:tc>
                                </w:tr>
                              </w:tbl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rect style="position:absolute;rotation:0;width:360.15pt;height:67.6pt;mso-wrap-distance-left:9.35pt;mso-wrap-distance-right:9.35pt;mso-wrap-distance-top:0pt;mso-wrap-distance-bottom:0pt;margin-top:660.9pt;mso-position-vertical:bottom;mso-position-vertical-relative:margin;margin-left:53.8pt;mso-position-horizontal:center;mso-position-horizontal-relative:margin">
                    <v:textbox inset="0in,0in,0in,0in">
                      <w:txbxContent>
                        <w:tbl>
                          <w:tblPr>
                            <w:tblpPr w:bottomFromText="0" w:horzAnchor="margin" w:leftFromText="187" w:rightFromText="187" w:tblpX="0" w:tblpXSpec="center" w:tblpY="0" w:tblpYSpec="bottom" w:topFromText="0" w:vertAnchor="margin"/>
                            <w:tblW w:w="5000" w:type="pct"/>
                            <w:jc w:val="center"/>
                            <w:tblInd w:w="0" w:type="dxa"/>
                            <w:tblBorders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7203"/>
                          </w:tblGrid>
                          <w:tr>
                            <w:trPr/>
                            <w:tc>
                              <w:tcPr>
                                <w:tcW w:w="7203" w:type="dxa"/>
                                <w:tcBorders/>
                                <w:shd w:fill="auto" w:val="clear"/>
                              </w:tcPr>
                              <w:sdt>
                                <w:sdtPr>
                                  <w:text/>
                                  <w:id w:val="16606439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alias w:val="Автор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rPr/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Abakirov Nursultan SE(eng)1-16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Task</w:t>
      </w:r>
    </w:p>
    <w:p>
      <w:pPr>
        <w:pStyle w:val="Normal"/>
        <w:rPr>
          <w:lang w:val="en-US"/>
        </w:rPr>
      </w:pPr>
      <w:r>
        <w:rPr>
          <w:lang w:val="en-US"/>
        </w:rPr>
        <w:t>Static unlinked linear list to design on based array.  The project must fulfill the following functions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of element on the list;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of element from the  list;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 of element in a static list;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 of position of  element in a static list;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list.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Requirements:</w:t>
      </w:r>
    </w:p>
    <w:p>
      <w:pPr>
        <w:pStyle w:val="Normal"/>
        <w:rPr>
          <w:lang w:val="en-US"/>
        </w:rPr>
      </w:pPr>
      <w:r>
        <w:rPr>
          <w:lang w:val="en-US"/>
        </w:rPr>
        <w:t>Type of Input must be an integer.</w:t>
      </w:r>
    </w:p>
    <w:p>
      <w:pPr>
        <w:pStyle w:val="Normal"/>
        <w:rPr>
          <w:lang w:val="en-US"/>
        </w:rPr>
      </w:pPr>
      <w:r>
        <w:rPr>
          <w:lang w:val="en-US"/>
        </w:rPr>
        <w:t>Limit the size of an array of 100 elements.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Design of diagrams.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Design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- The structural method – decomposition. To decompose the task at the top level (modules) and the lowest level (function). Process data for exception cases.</w:t>
      </w:r>
    </w:p>
    <w:p>
      <w:pPr>
        <w:pStyle w:val="Normal"/>
        <w:rPr>
          <w:b/>
          <w:b/>
          <w:bCs/>
        </w:rPr>
      </w:pPr>
      <w:bookmarkStart w:id="0" w:name="__DdeLink__64_321430738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</w:t>
      </w:r>
      <w:bookmarkEnd w:id="0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ll inputs are validated by native c++ method cin.fail(), which returns false if inputed not valid data.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First level design by top-down</w:t>
      </w:r>
    </w:p>
    <w:p>
      <w:pPr>
        <w:pStyle w:val="ListParagraph"/>
        <w:ind w:hanging="0"/>
        <w:rPr/>
      </w:pPr>
      <w:bookmarkStart w:id="1" w:name="_GoBack"/>
      <w:bookmarkEnd w:id="1"/>
      <w:r>
        <w:rPr/>
        <w:drawing>
          <wp:inline distT="0" distB="0" distL="0" distR="0">
            <wp:extent cx="5940425" cy="259143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-586105</wp:posOffset>
                </wp:positionH>
                <wp:positionV relativeFrom="paragraph">
                  <wp:posOffset>963295</wp:posOffset>
                </wp:positionV>
                <wp:extent cx="6858635" cy="63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.15pt,75.85pt" to="493.8pt,75.8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-614680</wp:posOffset>
                </wp:positionH>
                <wp:positionV relativeFrom="paragraph">
                  <wp:posOffset>1774190</wp:posOffset>
                </wp:positionV>
                <wp:extent cx="6934835" cy="63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3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8.4pt,139.7pt" to="497.55pt,139.7pt" ID="Shape2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0">
            <wp:extent cx="1495425" cy="254762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93950" cy="8326755"/>
            <wp:effectExtent l="0" t="0" r="0" b="0"/>
            <wp:docPr id="7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57575" cy="7353300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3042920" cy="487045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53030" cy="4316730"/>
            <wp:effectExtent l="0" t="0" r="0" b="0"/>
            <wp:docPr id="1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2650" cy="4088765"/>
            <wp:effectExtent l="0" t="0" r="0" b="0"/>
            <wp:docPr id="1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Calibri" w:hAnsi="Calibri" w:eastAsia="Calibri" w:cs="DejaVu Sans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Times New Roman" w:hAnsi="Times New Roman"/>
      <w:b/>
      <w:sz w:val="28"/>
    </w:rPr>
  </w:style>
  <w:style w:type="character" w:styleId="ListLabel2" w:customStyle="1">
    <w:name w:val="ListLabel 2"/>
    <w:qFormat/>
    <w:rPr>
      <w:rFonts w:cs="Times New Roman"/>
      <w:b/>
      <w:sz w:val="28"/>
    </w:rPr>
  </w:style>
  <w:style w:type="character" w:styleId="ListLabel3" w:customStyle="1">
    <w:name w:val="ListLabel 3"/>
    <w:qFormat/>
    <w:rPr>
      <w:rFonts w:ascii="Times New Roman" w:hAnsi="Times New Roman"/>
      <w:b/>
      <w:sz w:val="28"/>
    </w:rPr>
  </w:style>
  <w:style w:type="character" w:styleId="Style14" w:customStyle="1">
    <w:name w:val="Без интервала Знак"/>
    <w:basedOn w:val="DefaultParagraphFont"/>
    <w:link w:val="a7"/>
    <w:uiPriority w:val="1"/>
    <w:qFormat/>
    <w:rsid w:val="00c2075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4">
    <w:name w:val="ListLabel 4"/>
    <w:qFormat/>
    <w:rPr>
      <w:b/>
      <w:sz w:val="28"/>
    </w:rPr>
  </w:style>
  <w:style w:type="character" w:styleId="ListLabel5">
    <w:name w:val="ListLabel 5"/>
    <w:qFormat/>
    <w:rPr>
      <w:rFonts w:cs="Times New Roman"/>
      <w:b/>
      <w:sz w:val="24"/>
      <w:szCs w:val="24"/>
    </w:rPr>
  </w:style>
  <w:style w:type="character" w:styleId="ListLabel6">
    <w:name w:val="ListLabel 6"/>
    <w:qFormat/>
    <w:rPr>
      <w:b/>
      <w:sz w:val="28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hanging="0"/>
      <w:contextualSpacing/>
    </w:pPr>
    <w:rPr/>
  </w:style>
  <w:style w:type="paragraph" w:styleId="NoSpacing">
    <w:name w:val="No Spacing"/>
    <w:link w:val="a8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357613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357613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357613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357613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357613"/>
    <w:rsid w:val="00750BA7"/>
    <w:rsid w:val="00D677E8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Application>LibreOffice/5.1.6.2$Linux_X86_64 LibreOffice_project/10m0$Build-2</Application>
  <Pages>4</Pages>
  <Words>132</Words>
  <Characters>669</Characters>
  <CharactersWithSpaces>786</CharactersWithSpaces>
  <Paragraphs>23</Paragraphs>
  <Company>Kyrgyz State Technical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2017-01-23T09:17:00Z</dcterms:created>
  <dc:creator>Abakirov Nursultan SE(eng)1-16</dc:creator>
  <dc:description/>
  <dc:language>en-US</dc:language>
  <cp:lastModifiedBy/>
  <dcterms:modified xsi:type="dcterms:W3CDTF">2017-10-04T15:49:01Z</dcterms:modified>
  <cp:revision>16</cp:revision>
  <dc:subject>Laboratory work 2</dc:subject>
  <dc:title>Software Engineering Methods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Kyrgyz State Technical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