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A2634"/>
          <w:sz w:val="30"/>
          <w:szCs w:val="30"/>
        </w:rPr>
        <w:t xml:space="preserve">SOFTWARE DESIGN DOCUMENT</w:t>
      </w:r>
    </w:p>
    <w:p>
      <w:pPr>
        <w:spacing w:after="500"/>
        <w:jc w:val="center"/>
      </w:pPr>
      <w:r>
        <w:rPr>
          <w:b/>
          <w:bCs/>
          <w:color w:val="1F6FB2"/>
          <w:sz w:val="24"/>
          <w:szCs w:val="24"/>
        </w:rPr>
        <w:t xml:space="preserve">NetverseAI — PBR Flow Monitoring Dashboard</w:t>
      </w:r>
    </w:p>
    <w:p>
      <w:pPr>
        <w:spacing w:after="60"/>
        <w:jc w:val="center"/>
      </w:pPr>
      <w:r>
        <w:rPr>
          <w:i/>
          <w:iCs/>
          <w:color w:val="5A6B7F"/>
          <w:sz w:val="19"/>
          <w:szCs w:val="19"/>
        </w:rPr>
        <w:t xml:space="preserve">Multi-fabric ACI Policy-Based Redirect visibility, IP-flow identification,</w:t>
      </w:r>
    </w:p>
    <w:p>
      <w:pPr>
        <w:spacing w:after="500"/>
        <w:jc w:val="center"/>
      </w:pPr>
      <w:r>
        <w:rPr>
          <w:i/>
          <w:iCs/>
          <w:color w:val="5A6B7F"/>
          <w:sz w:val="19"/>
          <w:szCs w:val="19"/>
        </w:rPr>
        <w:t xml:space="preserve">and threshold/bypass-aware health monitoring</w:t>
      </w:r>
    </w:p>
    <w:p>
      <w:pPr>
        <w:spacing w:after="600"/>
      </w:pP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3200"/>
        <w:gridCol w:w="6150"/>
      </w:tblGrid>
      <w:tr>
        <w:trPr>
          <w:tblHeader/>
        </w:trPr>
        <w:tc>
          <w:tcPr>
            <w:tcW w:type="dxa" w:w="3200"/>
            <w:shd w:fill="1A2634" w:val="clear"/>
            <w:tcMar>
              <w:top w:type="dxa" w:w="100"/>
              <w:left w:type="dxa" w:w="120"/>
              <w:bottom w:type="dxa" w:w="100"/>
              <w:right w:type="dxa" w:w="120"/>
            </w:tcMar>
          </w:tcPr>
          <w:p>
            <w:r>
              <w:rPr>
                <w:b/>
                <w:bCs/>
                <w:color w:val="FFFFFF"/>
                <w:sz w:val="19"/>
                <w:szCs w:val="19"/>
              </w:rPr>
              <w:t xml:space="preserve">Field</w:t>
            </w:r>
          </w:p>
        </w:tc>
        <w:tc>
          <w:tcPr>
            <w:tcW w:type="dxa" w:w="6150"/>
            <w:shd w:fill="1A2634" w:val="clear"/>
            <w:tcMar>
              <w:top w:type="dxa" w:w="100"/>
              <w:left w:type="dxa" w:w="120"/>
              <w:bottom w:type="dxa" w:w="100"/>
              <w:right w:type="dxa" w:w="120"/>
            </w:tcMar>
          </w:tcPr>
          <w:p>
            <w:r>
              <w:rPr>
                <w:b/>
                <w:bCs/>
                <w:color w:val="FFFFFF"/>
                <w:sz w:val="19"/>
                <w:szCs w:val="19"/>
              </w:rPr>
              <w:t xml:space="preserve">Value</w:t>
            </w:r>
          </w:p>
        </w:tc>
      </w:tr>
      <w:tr>
        <w:tc>
          <w:tcPr>
            <w:tcW w:type="dxa" w:w="3200"/>
            <w:tcMar>
              <w:top w:type="dxa" w:w="100"/>
              <w:left w:type="dxa" w:w="120"/>
              <w:bottom w:type="dxa" w:w="100"/>
              <w:right w:type="dxa" w:w="120"/>
            </w:tcMar>
          </w:tcPr>
          <w:p>
            <w:r>
              <w:rPr>
                <w:b w:val="false"/>
                <w:bCs w:val="false"/>
                <w:color w:val="202A36"/>
                <w:sz w:val="19"/>
                <w:szCs w:val="19"/>
              </w:rPr>
              <w:t xml:space="preserve">Document status</w:t>
            </w:r>
          </w:p>
        </w:tc>
        <w:tc>
          <w:tcPr>
            <w:tcW w:type="dxa" w:w="6150"/>
            <w:tcMar>
              <w:top w:type="dxa" w:w="100"/>
              <w:left w:type="dxa" w:w="120"/>
              <w:bottom w:type="dxa" w:w="100"/>
              <w:right w:type="dxa" w:w="120"/>
            </w:tcMar>
          </w:tcPr>
          <w:p>
            <w:r>
              <w:rPr>
                <w:b w:val="false"/>
                <w:bCs w:val="false"/>
                <w:color w:val="202A36"/>
                <w:sz w:val="19"/>
                <w:szCs w:val="19"/>
              </w:rPr>
              <w:t xml:space="preserve">Draft — for engineering review</w:t>
            </w:r>
          </w:p>
        </w:tc>
      </w:tr>
      <w:tr>
        <w:tc>
          <w:tcPr>
            <w:tcW w:type="dxa" w:w="3200"/>
            <w:tcMar>
              <w:top w:type="dxa" w:w="100"/>
              <w:left w:type="dxa" w:w="120"/>
              <w:bottom w:type="dxa" w:w="100"/>
              <w:right w:type="dxa" w:w="120"/>
            </w:tcMar>
          </w:tcPr>
          <w:p>
            <w:r>
              <w:rPr>
                <w:b w:val="false"/>
                <w:bCs w:val="false"/>
                <w:color w:val="202A36"/>
                <w:sz w:val="19"/>
                <w:szCs w:val="19"/>
              </w:rPr>
              <w:t xml:space="preserve">Version</w:t>
            </w:r>
          </w:p>
        </w:tc>
        <w:tc>
          <w:tcPr>
            <w:tcW w:type="dxa" w:w="6150"/>
            <w:tcMar>
              <w:top w:type="dxa" w:w="100"/>
              <w:left w:type="dxa" w:w="120"/>
              <w:bottom w:type="dxa" w:w="100"/>
              <w:right w:type="dxa" w:w="120"/>
            </w:tcMar>
          </w:tcPr>
          <w:p>
            <w:r>
              <w:rPr>
                <w:b w:val="false"/>
                <w:bCs w:val="false"/>
                <w:color w:val="202A36"/>
                <w:sz w:val="19"/>
                <w:szCs w:val="19"/>
              </w:rPr>
              <w:t xml:space="preserve">0.1</w:t>
            </w:r>
          </w:p>
        </w:tc>
      </w:tr>
      <w:tr>
        <w:tc>
          <w:tcPr>
            <w:tcW w:type="dxa" w:w="3200"/>
            <w:tcMar>
              <w:top w:type="dxa" w:w="100"/>
              <w:left w:type="dxa" w:w="120"/>
              <w:bottom w:type="dxa" w:w="100"/>
              <w:right w:type="dxa" w:w="120"/>
            </w:tcMar>
          </w:tcPr>
          <w:p>
            <w:r>
              <w:rPr>
                <w:b w:val="false"/>
                <w:bCs w:val="false"/>
                <w:color w:val="202A36"/>
                <w:sz w:val="19"/>
                <w:szCs w:val="19"/>
              </w:rPr>
              <w:t xml:space="preserve">Prepared by</w:t>
            </w:r>
          </w:p>
        </w:tc>
        <w:tc>
          <w:tcPr>
            <w:tcW w:type="dxa" w:w="6150"/>
            <w:tcMar>
              <w:top w:type="dxa" w:w="100"/>
              <w:left w:type="dxa" w:w="120"/>
              <w:bottom w:type="dxa" w:w="100"/>
              <w:right w:type="dxa" w:w="120"/>
            </w:tcMar>
          </w:tcPr>
          <w:p>
            <w:r>
              <w:rPr>
                <w:b w:val="false"/>
                <w:bCs w:val="false"/>
                <w:color w:val="202A36"/>
                <w:sz w:val="19"/>
                <w:szCs w:val="19"/>
              </w:rPr>
              <w:t xml:space="preserve">Sumit Saraf — Jio Labs, Network &amp; Systems, Telco-LAN / IPSE E2E Testing &amp; QA</w:t>
            </w:r>
          </w:p>
        </w:tc>
      </w:tr>
      <w:tr>
        <w:tc>
          <w:tcPr>
            <w:tcW w:type="dxa" w:w="3200"/>
            <w:tcMar>
              <w:top w:type="dxa" w:w="100"/>
              <w:left w:type="dxa" w:w="120"/>
              <w:bottom w:type="dxa" w:w="100"/>
              <w:right w:type="dxa" w:w="120"/>
            </w:tcMar>
          </w:tcPr>
          <w:p>
            <w:r>
              <w:rPr>
                <w:b w:val="false"/>
                <w:bCs w:val="false"/>
                <w:color w:val="202A36"/>
                <w:sz w:val="19"/>
                <w:szCs w:val="19"/>
              </w:rPr>
              <w:t xml:space="preserve">Reporting to</w:t>
            </w:r>
          </w:p>
        </w:tc>
        <w:tc>
          <w:tcPr>
            <w:tcW w:type="dxa" w:w="6150"/>
            <w:tcMar>
              <w:top w:type="dxa" w:w="100"/>
              <w:left w:type="dxa" w:w="120"/>
              <w:bottom w:type="dxa" w:w="100"/>
              <w:right w:type="dxa" w:w="120"/>
            </w:tcMar>
          </w:tcPr>
          <w:p>
            <w:r>
              <w:rPr>
                <w:b w:val="false"/>
                <w:bCs w:val="false"/>
                <w:color w:val="202A36"/>
                <w:sz w:val="19"/>
                <w:szCs w:val="19"/>
              </w:rPr>
              <w:t xml:space="preserve">Naba Pal</w:t>
            </w:r>
          </w:p>
        </w:tc>
      </w:tr>
      <w:tr>
        <w:tc>
          <w:tcPr>
            <w:tcW w:type="dxa" w:w="3200"/>
            <w:tcMar>
              <w:top w:type="dxa" w:w="100"/>
              <w:left w:type="dxa" w:w="120"/>
              <w:bottom w:type="dxa" w:w="100"/>
              <w:right w:type="dxa" w:w="120"/>
            </w:tcMar>
          </w:tcPr>
          <w:p>
            <w:r>
              <w:rPr>
                <w:b w:val="false"/>
                <w:bCs w:val="false"/>
                <w:color w:val="202A36"/>
                <w:sz w:val="19"/>
                <w:szCs w:val="19"/>
              </w:rPr>
              <w:t xml:space="preserve">Target platform</w:t>
            </w:r>
          </w:p>
        </w:tc>
        <w:tc>
          <w:tcPr>
            <w:tcW w:type="dxa" w:w="6150"/>
            <w:tcMar>
              <w:top w:type="dxa" w:w="100"/>
              <w:left w:type="dxa" w:w="120"/>
              <w:bottom w:type="dxa" w:w="100"/>
              <w:right w:type="dxa" w:w="120"/>
            </w:tcMar>
          </w:tcPr>
          <w:p>
            <w:r>
              <w:rPr>
                <w:b w:val="false"/>
                <w:bCs w:val="false"/>
                <w:color w:val="202A36"/>
                <w:sz w:val="19"/>
                <w:szCs w:val="19"/>
              </w:rPr>
              <w:t xml:space="preserve">NetverseAI (internal network/infrastructure inventory &amp; monitoring platform)</w:t>
            </w:r>
          </w:p>
        </w:tc>
      </w:tr>
      <w:tr>
        <w:tc>
          <w:tcPr>
            <w:tcW w:type="dxa" w:w="3200"/>
            <w:tcMar>
              <w:top w:type="dxa" w:w="100"/>
              <w:left w:type="dxa" w:w="120"/>
              <w:bottom w:type="dxa" w:w="100"/>
              <w:right w:type="dxa" w:w="120"/>
            </w:tcMar>
          </w:tcPr>
          <w:p>
            <w:r>
              <w:rPr>
                <w:b w:val="false"/>
                <w:bCs w:val="false"/>
                <w:color w:val="202A36"/>
                <w:sz w:val="19"/>
                <w:szCs w:val="19"/>
              </w:rPr>
              <w:t xml:space="preserve">Prototype validated against</w:t>
            </w:r>
          </w:p>
        </w:tc>
        <w:tc>
          <w:tcPr>
            <w:tcW w:type="dxa" w:w="6150"/>
            <w:tcMar>
              <w:top w:type="dxa" w:w="100"/>
              <w:left w:type="dxa" w:w="120"/>
              <w:bottom w:type="dxa" w:w="100"/>
              <w:right w:type="dxa" w:w="120"/>
            </w:tcMar>
          </w:tcPr>
          <w:p>
            <w:r>
              <w:rPr>
                <w:b w:val="false"/>
                <w:bCs w:val="false"/>
                <w:color w:val="202A36"/>
                <w:sz w:val="19"/>
                <w:szCs w:val="19"/>
              </w:rPr>
              <w:t xml:space="preserve">Bangalore, Mumbai, Jamnagar ACI fabrics (live APIC data); New_Jamnagar (no PBR tenant)</w:t>
            </w:r>
          </w:p>
        </w:tc>
      </w:tr>
      <w:tr>
        <w:tc>
          <w:tcPr>
            <w:tcW w:type="dxa" w:w="3200"/>
            <w:tcMar>
              <w:top w:type="dxa" w:w="100"/>
              <w:left w:type="dxa" w:w="120"/>
              <w:bottom w:type="dxa" w:w="100"/>
              <w:right w:type="dxa" w:w="120"/>
            </w:tcMar>
          </w:tcPr>
          <w:p>
            <w:r>
              <w:rPr>
                <w:b w:val="false"/>
                <w:bCs w:val="false"/>
                <w:color w:val="202A36"/>
                <w:sz w:val="19"/>
                <w:szCs w:val="19"/>
              </w:rPr>
              <w:t xml:space="preserve">Review status</w:t>
            </w:r>
          </w:p>
        </w:tc>
        <w:tc>
          <w:tcPr>
            <w:tcW w:type="dxa" w:w="6150"/>
            <w:tcMar>
              <w:top w:type="dxa" w:w="100"/>
              <w:left w:type="dxa" w:w="120"/>
              <w:bottom w:type="dxa" w:w="100"/>
              <w:right w:type="dxa" w:w="120"/>
            </w:tcMar>
          </w:tcPr>
          <w:p>
            <w:r>
              <w:rPr>
                <w:b w:val="false"/>
                <w:bCs w:val="false"/>
                <w:color w:val="202A36"/>
                <w:sz w:val="19"/>
                <w:szCs w:val="19"/>
              </w:rPr>
              <w:t xml:space="preserve">Pending — circulate to NetverseAI platform owners and ACI/PBR SMEs before implementation</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line="276"/>
      </w:pPr>
      <w:r>
        <w:rPr>
          <w:b w:val="false"/>
          <w:bCs w:val="false"/>
          <w:i w:val="false"/>
          <w:iCs w:val="false"/>
          <w:color w:val="202A36"/>
          <w:sz w:val="21"/>
          <w:szCs w:val="21"/>
        </w:rPr>
        <w:t xml:space="preserve">This document proposes integrating a PBR (Policy-Based Redirect) Flow Monitoring Dashboard into NetverseAI, Jio's internal network/infrastructure inventory and monitoring platform. The feature gives engineers a single place to see the health of every deployed L4-L7 service graph across ACI fabrics, identify which PBR service handles a given source/destination IP flow, visualize the node-by-node redirect topology (including PBR threshold/bypass state), and understand the blast radius of touching a shared device.</w:t>
      </w:r>
    </w:p>
    <w:p>
      <w:pPr>
        <w:spacing w:after="160" w:line="276"/>
      </w:pPr>
      <w:r>
        <w:rPr>
          <w:b w:val="false"/>
          <w:bCs w:val="false"/>
          <w:i w:val="false"/>
          <w:iCs w:val="false"/>
          <w:color w:val="202A36"/>
          <w:sz w:val="21"/>
          <w:szCs w:val="21"/>
        </w:rPr>
        <w:t xml:space="preserve">A working prototype has been built and validated end-to-end against live APIC data from three production fabrics (Bangalore, Mumbai, Jamnagar), pulling directly from the same object classes an engineer would query by hand with moquery (vnsGraphInst, vnsLDevCtx, vnsCDev, vnsSvcRedirectPol, vnsL1L2RedirectDest, l3extSubnet, fvRsProv/fvRsCons, fvIp). The prototype surfaced several real, previously-unnoticed conditions in production data during its own validation — including 7 PBR nodes currently operating in a threshold-triggered bypass state and a fabric with 4 failing service graph instances — which is itself evidence the tool finds things worth finding.</w:t>
      </w:r>
    </w:p>
    <w:p>
      <w:pPr>
        <w:spacing w:after="160" w:line="276"/>
      </w:pPr>
      <w:r>
        <w:rPr>
          <w:b w:val="false"/>
          <w:bCs w:val="false"/>
          <w:i w:val="false"/>
          <w:iCs w:val="false"/>
          <w:color w:val="202A36"/>
          <w:sz w:val="21"/>
          <w:szCs w:val="21"/>
        </w:rPr>
        <w:t xml:space="preserve">This SDD covers the proposed production architecture, data model, computation logic, API surface, known limitations discovered during prototyping, a testing approach, and a phased rollout plan. It is written to be reviewed and challenged before implementation begins.</w:t>
      </w:r>
    </w:p>
    <w:p>
      <w:pPr>
        <w:pStyle w:val="Heading1"/>
        <w:spacing w:after="160" w:before="360"/>
      </w:pPr>
      <w:r>
        <w:t xml:space="preserve">2. Purpose &amp; Scope</w:t>
      </w:r>
    </w:p>
    <w:p>
      <w:pPr>
        <w:pStyle w:val="Heading2"/>
        <w:spacing w:after="120" w:before="280"/>
      </w:pPr>
      <w:r>
        <w:t xml:space="preserve">2.1 Purpose</w:t>
      </w:r>
    </w:p>
    <w:p>
      <w:pPr>
        <w:spacing w:after="160" w:line="276"/>
      </w:pPr>
      <w:r>
        <w:rPr>
          <w:b w:val="false"/>
          <w:bCs w:val="false"/>
          <w:i w:val="false"/>
          <w:iCs w:val="false"/>
          <w:color w:val="202A36"/>
          <w:sz w:val="21"/>
          <w:szCs w:val="21"/>
        </w:rPr>
        <w:t xml:space="preserve">Give NetverseAI users (network engineers, NOC staff, and their leads) real-time-ish, cross-fabric visibility into PBR/L4-L7 service graph health, topology, and flow classification — replacing today's practice of running ad-hoc moquery commands per fabric during troubleshooting.</w:t>
      </w:r>
    </w:p>
    <w:p>
      <w:pPr>
        <w:pStyle w:val="Heading2"/>
        <w:spacing w:after="120" w:before="280"/>
      </w:pPr>
      <w:r>
        <w:t xml:space="preserve">2.2 In Scope</w:t>
      </w:r>
    </w:p>
    <w:p>
      <w:pPr>
        <w:pStyle w:val="ListParagraph"/>
        <w:numPr>
          <w:ilvl w:val="0"/>
          <w:numId w:val="2"/>
        </w:numPr>
        <w:spacing w:after="80" w:line="268"/>
      </w:pPr>
      <w:r>
        <w:rPr>
          <w:color w:val="202A36"/>
          <w:sz w:val="21"/>
          <w:szCs w:val="21"/>
        </w:rPr>
        <w:t xml:space="preserve">ACI L4-L7 Policy-Based Redirect (PBR) service graphs: contract + graph + node-level topology.</w:t>
      </w:r>
    </w:p>
    <w:p>
      <w:pPr>
        <w:pStyle w:val="ListParagraph"/>
        <w:numPr>
          <w:ilvl w:val="0"/>
          <w:numId w:val="2"/>
        </w:numPr>
        <w:spacing w:after="80" w:line="268"/>
      </w:pPr>
      <w:r>
        <w:rPr>
          <w:color w:val="202A36"/>
          <w:sz w:val="21"/>
          <w:szCs w:val="21"/>
        </w:rPr>
        <w:t xml:space="preserve">Fabric-level and service-level health scoring, derived from live-learned redirect destination state (fvIp) and, where meaningful, PBR threshold/bypass configuration.</w:t>
      </w:r>
    </w:p>
    <w:p>
      <w:pPr>
        <w:pStyle w:val="ListParagraph"/>
        <w:numPr>
          <w:ilvl w:val="0"/>
          <w:numId w:val="2"/>
        </w:numPr>
        <w:spacing w:after="80" w:line="268"/>
      </w:pPr>
      <w:r>
        <w:rPr>
          <w:color w:val="202A36"/>
          <w:sz w:val="21"/>
          <w:szCs w:val="21"/>
        </w:rPr>
        <w:t xml:space="preserve">Source/destination IP → PBR service identification, including default-route fallback and address-family/format validation.</w:t>
      </w:r>
    </w:p>
    <w:p>
      <w:pPr>
        <w:pStyle w:val="ListParagraph"/>
        <w:numPr>
          <w:ilvl w:val="0"/>
          <w:numId w:val="2"/>
        </w:numPr>
        <w:spacing w:after="80" w:line="268"/>
      </w:pPr>
      <w:r>
        <w:rPr>
          <w:color w:val="202A36"/>
          <w:sz w:val="21"/>
          <w:szCs w:val="21"/>
        </w:rPr>
        <w:t xml:space="preserve">Blast-radius analysis (shared device groups across services, same fabric).</w:t>
      </w:r>
    </w:p>
    <w:p>
      <w:pPr>
        <w:pStyle w:val="ListParagraph"/>
        <w:numPr>
          <w:ilvl w:val="0"/>
          <w:numId w:val="2"/>
        </w:numPr>
        <w:spacing w:after="80" w:line="268"/>
      </w:pPr>
      <w:r>
        <w:rPr>
          <w:color w:val="202A36"/>
          <w:sz w:val="21"/>
          <w:szCs w:val="21"/>
        </w:rPr>
        <w:t xml:space="preserve">Read-only monitoring and visualization. No configuration changes are pushed to APIC by this feature.</w:t>
      </w:r>
    </w:p>
    <w:p>
      <w:pPr>
        <w:pStyle w:val="Heading2"/>
        <w:spacing w:after="120" w:before="280"/>
      </w:pPr>
      <w:r>
        <w:t xml:space="preserve">2.3 Out of Scope (this phase)</w:t>
      </w:r>
    </w:p>
    <w:p>
      <w:pPr>
        <w:pStyle w:val="ListParagraph"/>
        <w:numPr>
          <w:ilvl w:val="0"/>
          <w:numId w:val="2"/>
        </w:numPr>
        <w:spacing w:after="80" w:line="268"/>
      </w:pPr>
      <w:r>
        <w:rPr>
          <w:color w:val="202A36"/>
          <w:sz w:val="21"/>
          <w:szCs w:val="21"/>
        </w:rPr>
        <w:t xml:space="preserve">Non-PBR contracts / plain permit-deny ACI policy visibility (covered by other NetverseAI modules).</w:t>
      </w:r>
    </w:p>
    <w:p>
      <w:pPr>
        <w:pStyle w:val="ListParagraph"/>
        <w:numPr>
          <w:ilvl w:val="0"/>
          <w:numId w:val="2"/>
        </w:numPr>
        <w:spacing w:after="80" w:line="268"/>
      </w:pPr>
      <w:r>
        <w:rPr>
          <w:color w:val="202A36"/>
          <w:sz w:val="21"/>
          <w:szCs w:val="21"/>
        </w:rPr>
        <w:t xml:space="preserve">Non-ACI fabrics (this design is specific to Cisco ACI's vnsGraphInst/vnsLDevCtx model).</w:t>
      </w:r>
    </w:p>
    <w:p>
      <w:pPr>
        <w:pStyle w:val="ListParagraph"/>
        <w:numPr>
          <w:ilvl w:val="0"/>
          <w:numId w:val="2"/>
        </w:numPr>
        <w:spacing w:after="80" w:line="268"/>
      </w:pPr>
      <w:r>
        <w:rPr>
          <w:color w:val="202A36"/>
          <w:sz w:val="21"/>
          <w:szCs w:val="21"/>
        </w:rPr>
        <w:t xml:space="preserve">Write/remediation actions (e.g. one-click policy changes, redirect destination edits) — may be a future phase, called out in § 12.</w:t>
      </w:r>
    </w:p>
    <w:p>
      <w:pPr>
        <w:pStyle w:val="ListParagraph"/>
        <w:numPr>
          <w:ilvl w:val="0"/>
          <w:numId w:val="2"/>
        </w:numPr>
        <w:spacing w:after="80" w:line="268"/>
      </w:pPr>
      <w:r>
        <w:rPr>
          <w:color w:val="202A36"/>
          <w:sz w:val="21"/>
          <w:szCs w:val="21"/>
        </w:rPr>
        <w:t xml:space="preserve">L1 interface real-time operational status — see § 9.1, a genuine data-availability gap found during prototyping, not a design choice.</w:t>
      </w:r>
    </w:p>
    <w:p>
      <w:pPr>
        <w:pStyle w:val="Heading1"/>
        <w:spacing w:after="160" w:before="360"/>
      </w:pPr>
      <w:r>
        <w:t xml:space="preserve">3. Background &amp; Problem Statement</w:t>
      </w:r>
    </w:p>
    <w:p>
      <w:pPr>
        <w:spacing w:after="160" w:line="276"/>
      </w:pPr>
      <w:r>
        <w:rPr>
          <w:b w:val="false"/>
          <w:bCs w:val="false"/>
          <w:i w:val="false"/>
          <w:iCs w:val="false"/>
          <w:color w:val="202A36"/>
          <w:sz w:val="21"/>
          <w:szCs w:val="21"/>
        </w:rPr>
        <w:t xml:space="preserve">Today, understanding a PBR service graph's health or tracing an IP flow through a redirect chain requires an engineer to manually query multiple ACI object classes per fabric, cross-reference contract/EPG relationships by hand, and reason about scope validity (e.g. whether a subnet is actually usable for EPG classification or is route-control-only) — all before they can answer a simple question like “which PBR service will this traffic hit, and is it healthy?”</w:t>
      </w:r>
    </w:p>
    <w:p>
      <w:pPr>
        <w:spacing w:after="160" w:line="276"/>
      </w:pPr>
      <w:r>
        <w:rPr>
          <w:b w:val="false"/>
          <w:bCs w:val="false"/>
          <w:i w:val="false"/>
          <w:iCs w:val="false"/>
          <w:color w:val="202A36"/>
          <w:sz w:val="21"/>
          <w:szCs w:val="21"/>
        </w:rPr>
        <w:t xml:space="preserve">This is slow during incidents, error-prone (a wrong assumption about which subnet is classification-valid, or which of several same-subnet EPGs is authoritative, silently produces a wrong answer), and doesn't scale as the number of fabrics and service graphs grows. There is currently no single, authoritative, cross-fabric view.</w:t>
      </w:r>
    </w:p>
    <w:p>
      <w:pPr>
        <w:pStyle w:val="Heading2"/>
        <w:spacing w:after="120" w:before="280"/>
      </w:pPr>
      <w:r>
        <w:t xml:space="preserve">3.1 What the Prototype Demonstrated</w:t>
      </w:r>
    </w:p>
    <w:p>
      <w:pPr>
        <w:spacing w:after="160" w:line="276"/>
      </w:pPr>
      <w:r>
        <w:rPr>
          <w:b w:val="false"/>
          <w:bCs w:val="false"/>
          <w:i w:val="false"/>
          <w:iCs w:val="false"/>
          <w:color w:val="202A36"/>
          <w:sz w:val="21"/>
          <w:szCs w:val="21"/>
        </w:rPr>
        <w:t xml:space="preserve">Building the prototype surfaced concrete evidence that this is a real, non-trivial problem, not just a UI convenience:</w:t>
      </w:r>
    </w:p>
    <w:p>
      <w:pPr>
        <w:pStyle w:val="ListParagraph"/>
        <w:numPr>
          <w:ilvl w:val="0"/>
          <w:numId w:val="2"/>
        </w:numPr>
        <w:spacing w:after="80" w:line="268"/>
      </w:pPr>
      <w:r>
        <w:rPr>
          <w:color w:val="202A36"/>
          <w:sz w:val="21"/>
          <w:szCs w:val="21"/>
        </w:rPr>
        <w:t xml:space="preserve">A subnet can legitimately be configured as an external subnet on multiple EPGs across different contracts — only one may actually be scope-valid (“External Subnets for the External EPG”, i.e. scope contains import-security) for classification purposes; the others may be route-control-only and must not be used to resolve a flow.</w:t>
      </w:r>
    </w:p>
    <w:p>
      <w:pPr>
        <w:pStyle w:val="ListParagraph"/>
        <w:numPr>
          <w:ilvl w:val="0"/>
          <w:numId w:val="2"/>
        </w:numPr>
        <w:spacing w:after="80" w:line="268"/>
      </w:pPr>
      <w:r>
        <w:rPr>
          <w:color w:val="202A36"/>
          <w:sz w:val="21"/>
          <w:szCs w:val="21"/>
        </w:rPr>
        <w:t xml:space="preserve">A contract+graph pair can exist as a Deployed Graph Instance (vnsGraphInst) without a corresponding Device Selection Policy (vnsLDevCtx), or vice-versa — the two must be intersected, not assumed equivalent.</w:t>
      </w:r>
    </w:p>
    <w:p>
      <w:pPr>
        <w:pStyle w:val="ListParagraph"/>
        <w:numPr>
          <w:ilvl w:val="0"/>
          <w:numId w:val="2"/>
        </w:numPr>
        <w:spacing w:after="80" w:line="268"/>
      </w:pPr>
      <w:r>
        <w:rPr>
          <w:color w:val="202A36"/>
          <w:sz w:val="21"/>
          <w:szCs w:val="21"/>
        </w:rPr>
        <w:t xml:space="preserve">PBR threshold-based bypass is live in production today: 7 nodes across Mumbai and Jamnagar currently have 0% active redirect destinations against configured minimums of 10–41%, with 6 of them correctly bypassing (Down Action = bypass) and one continuing to (mis)report as degraded because its Down Action is permit, not bypass — a distinction that is easy to get wrong and materially changes whether the condition is actually service-impacting.</w:t>
      </w:r>
    </w:p>
    <w:p>
      <w:pPr>
        <w:pStyle w:val="Heading1"/>
        <w:spacing w:after="160" w:before="360"/>
      </w:pPr>
      <w:r>
        <w:t xml:space="preserve">4. Goals &amp; Non-Goals</w:t>
      </w:r>
    </w:p>
    <w:p>
      <w:pPr>
        <w:pStyle w:val="Heading2"/>
        <w:spacing w:after="120" w:before="280"/>
      </w:pPr>
      <w:r>
        <w:t xml:space="preserve">4.1 Goals</w:t>
      </w:r>
    </w:p>
    <w:p>
      <w:pPr>
        <w:pStyle w:val="ListParagraph"/>
        <w:numPr>
          <w:ilvl w:val="0"/>
          <w:numId w:val="3"/>
        </w:numPr>
        <w:spacing w:after="80" w:line="268"/>
      </w:pPr>
      <w:r>
        <w:rPr>
          <w:color w:val="202A36"/>
          <w:sz w:val="21"/>
          <w:szCs w:val="21"/>
        </w:rPr>
        <w:t xml:space="preserve">Single pane of glass for PBR health across all ACI fabrics onboarded to NetverseAI.</w:t>
      </w:r>
    </w:p>
    <w:p>
      <w:pPr>
        <w:pStyle w:val="ListParagraph"/>
        <w:numPr>
          <w:ilvl w:val="0"/>
          <w:numId w:val="3"/>
        </w:numPr>
        <w:spacing w:after="80" w:line="268"/>
      </w:pPr>
      <w:r>
        <w:rPr>
          <w:color w:val="202A36"/>
          <w:sz w:val="21"/>
          <w:szCs w:val="21"/>
        </w:rPr>
        <w:t xml:space="preserve">Answer “which PBR service handles this flow” correctly, including edge cases (overlapping subnets at different specificity, default-route-only providers, mixed IPv4/IPv6 input).</w:t>
      </w:r>
    </w:p>
    <w:p>
      <w:pPr>
        <w:pStyle w:val="ListParagraph"/>
        <w:numPr>
          <w:ilvl w:val="0"/>
          <w:numId w:val="3"/>
        </w:numPr>
        <w:spacing w:after="80" w:line="268"/>
      </w:pPr>
      <w:r>
        <w:rPr>
          <w:color w:val="202A36"/>
          <w:sz w:val="21"/>
          <w:szCs w:val="21"/>
        </w:rPr>
        <w:t xml:space="preserve">Make PBR topology (including threshold/bypass state) visually inspectable without a moquery session.</w:t>
      </w:r>
    </w:p>
    <w:p>
      <w:pPr>
        <w:pStyle w:val="ListParagraph"/>
        <w:numPr>
          <w:ilvl w:val="0"/>
          <w:numId w:val="3"/>
        </w:numPr>
        <w:spacing w:after="80" w:line="268"/>
      </w:pPr>
      <w:r>
        <w:rPr>
          <w:color w:val="202A36"/>
          <w:sz w:val="21"/>
          <w:szCs w:val="21"/>
        </w:rPr>
        <w:t xml:space="preserve">Reduce blast-radius risk when planning device/L3Out changes.</w:t>
      </w:r>
    </w:p>
    <w:p>
      <w:pPr>
        <w:pStyle w:val="ListParagraph"/>
        <w:numPr>
          <w:ilvl w:val="0"/>
          <w:numId w:val="3"/>
        </w:numPr>
        <w:spacing w:after="80" w:line="268"/>
      </w:pPr>
      <w:r>
        <w:rPr>
          <w:color w:val="202A36"/>
          <w:sz w:val="21"/>
          <w:szCs w:val="21"/>
        </w:rPr>
        <w:t xml:space="preserve">Be honest about data-availability limits rather than presenting a false sense of certainty (e.g. L1 real-time state).</w:t>
      </w:r>
    </w:p>
    <w:p>
      <w:pPr>
        <w:pStyle w:val="Heading2"/>
        <w:spacing w:after="120" w:before="280"/>
      </w:pPr>
      <w:r>
        <w:t xml:space="preserve">4.2 Non-Goals</w:t>
      </w:r>
    </w:p>
    <w:p>
      <w:pPr>
        <w:pStyle w:val="ListParagraph"/>
        <w:numPr>
          <w:ilvl w:val="0"/>
          <w:numId w:val="2"/>
        </w:numPr>
        <w:spacing w:after="80" w:line="268"/>
      </w:pPr>
      <w:r>
        <w:rPr>
          <w:color w:val="202A36"/>
          <w:sz w:val="21"/>
          <w:szCs w:val="21"/>
        </w:rPr>
        <w:t xml:space="preserve">Replacing APIC as the source of truth — NetverseAI remains a read-only visibility layer.</w:t>
      </w:r>
    </w:p>
    <w:p>
      <w:pPr>
        <w:pStyle w:val="ListParagraph"/>
        <w:numPr>
          <w:ilvl w:val="0"/>
          <w:numId w:val="2"/>
        </w:numPr>
        <w:spacing w:after="80" w:line="268"/>
      </w:pPr>
      <w:r>
        <w:rPr>
          <w:color w:val="202A36"/>
          <w:sz w:val="21"/>
          <w:szCs w:val="21"/>
        </w:rPr>
        <w:t xml:space="preserve">Guaranteeing sub-second freshness — see polling cadence proposal in § 7.2.</w:t>
      </w:r>
    </w:p>
    <w:p>
      <w:pPr>
        <w:pStyle w:val="ListParagraph"/>
        <w:numPr>
          <w:ilvl w:val="0"/>
          <w:numId w:val="2"/>
        </w:numPr>
        <w:spacing w:after="80" w:line="268"/>
      </w:pPr>
      <w:r>
        <w:rPr>
          <w:color w:val="202A36"/>
          <w:sz w:val="21"/>
          <w:szCs w:val="21"/>
        </w:rPr>
        <w:t xml:space="preserve">Automating remediation of threshold breaches or faults.</w:t>
      </w:r>
    </w:p>
    <w:p>
      <w:r>
        <w:br w:type="page"/>
      </w:r>
    </w:p>
    <w:p>
      <w:pPr>
        <w:pStyle w:val="Heading1"/>
        <w:spacing w:after="160" w:before="360"/>
      </w:pPr>
      <w:r>
        <w:t xml:space="preserve">5. Current Prototype — Feature Overview</w:t>
      </w:r>
    </w:p>
    <w:p>
      <w:pPr>
        <w:spacing w:after="160" w:line="276"/>
      </w:pPr>
      <w:r>
        <w:rPr>
          <w:b w:val="false"/>
          <w:bCs w:val="false"/>
          <w:i w:val="false"/>
          <w:iCs w:val="false"/>
          <w:color w:val="202A36"/>
          <w:sz w:val="21"/>
          <w:szCs w:val="21"/>
        </w:rPr>
        <w:t xml:space="preserve">A self-contained HTML/JS prototype (no backend) was built and iterated against live data pulled from the three fabrics' APICs, to validate feasibility and data model correctness before committing to production architecture. Its feature set, below, is the functional baseline this SDD proposes productionizing.</w:t>
      </w:r>
    </w:p>
    <w:p>
      <w:pPr>
        <w:pStyle w:val="Heading2"/>
        <w:spacing w:after="120" w:before="280"/>
      </w:pPr>
      <w:r>
        <w:t xml:space="preserve">5.1 Fabric Health Dashboard</w:t>
      </w:r>
    </w:p>
    <w:p>
      <w:pPr>
        <w:pStyle w:val="ListParagraph"/>
        <w:numPr>
          <w:ilvl w:val="0"/>
          <w:numId w:val="2"/>
        </w:numPr>
        <w:spacing w:after="80" w:line="268"/>
      </w:pPr>
      <w:r>
        <w:rPr>
          <w:color w:val="202A36"/>
          <w:sz w:val="21"/>
          <w:szCs w:val="21"/>
        </w:rPr>
        <w:t xml:space="preserve">Per-fabric card: total PBR services, healthy/warning/failed counts, tenant name.</w:t>
      </w:r>
    </w:p>
    <w:p>
      <w:pPr>
        <w:pStyle w:val="ListParagraph"/>
        <w:numPr>
          <w:ilvl w:val="0"/>
          <w:numId w:val="2"/>
        </w:numPr>
        <w:spacing w:after="80" w:line="268"/>
      </w:pPr>
      <w:r>
        <w:rPr>
          <w:color w:val="202A36"/>
          <w:sz w:val="21"/>
          <w:szCs w:val="21"/>
        </w:rPr>
        <w:t xml:space="preserve">Health is computed from the intersection of Deployed Graph Instances and Device Selection Policy (see § 7.3.1) — a service only counts if both exist.</w:t>
      </w:r>
    </w:p>
    <w:p>
      <w:pPr>
        <w:pStyle w:val="Heading2"/>
        <w:spacing w:after="120" w:before="280"/>
      </w:pPr>
      <w:r>
        <w:t xml:space="preserve">5.2 Service Graph Browser</w:t>
      </w:r>
    </w:p>
    <w:p>
      <w:pPr>
        <w:pStyle w:val="ListParagraph"/>
        <w:numPr>
          <w:ilvl w:val="0"/>
          <w:numId w:val="2"/>
        </w:numPr>
        <w:spacing w:after="80" w:line="268"/>
      </w:pPr>
      <w:r>
        <w:rPr>
          <w:color w:val="202A36"/>
          <w:sz w:val="21"/>
          <w:szCs w:val="21"/>
        </w:rPr>
        <w:t xml:space="preserve">Numbered, searchable (contract/graph name), sortable (health % asc/desc, name), and status-filterable list per fabric.</w:t>
      </w:r>
    </w:p>
    <w:p>
      <w:pPr>
        <w:pStyle w:val="ListParagraph"/>
        <w:numPr>
          <w:ilvl w:val="0"/>
          <w:numId w:val="2"/>
        </w:numPr>
        <w:spacing w:after="80" w:line="268"/>
      </w:pPr>
      <w:r>
        <w:rPr>
          <w:color w:val="202A36"/>
          <w:sz w:val="21"/>
          <w:szCs w:val="21"/>
        </w:rPr>
        <w:t xml:space="preserve">Collapse-all / expand-all controls; sticky search/sort bar for long lists.</w:t>
      </w:r>
    </w:p>
    <w:p>
      <w:pPr>
        <w:pStyle w:val="ListParagraph"/>
        <w:numPr>
          <w:ilvl w:val="0"/>
          <w:numId w:val="2"/>
        </w:numPr>
        <w:spacing w:after="80" w:line="268"/>
      </w:pPr>
      <w:r>
        <w:rPr>
          <w:color w:val="202A36"/>
          <w:sz w:val="21"/>
          <w:szCs w:val="21"/>
        </w:rPr>
        <w:t xml:space="preserve">Click-through to full service detail: Consumer/Provider External EPGs with scope-valid subnets, per-node health breakdown, topology diagram, blast radius, and raw JSON export.</w:t>
      </w:r>
    </w:p>
    <w:p>
      <w:pPr>
        <w:pStyle w:val="Heading2"/>
        <w:spacing w:after="120" w:before="280"/>
      </w:pPr>
      <w:r>
        <w:t xml:space="preserve">5.3 IP-Based Flow Identification</w:t>
      </w:r>
    </w:p>
    <w:p>
      <w:pPr>
        <w:pStyle w:val="ListParagraph"/>
        <w:numPr>
          <w:ilvl w:val="0"/>
          <w:numId w:val="2"/>
        </w:numPr>
        <w:spacing w:after="80" w:line="268"/>
      </w:pPr>
      <w:r>
        <w:rPr>
          <w:color w:val="202A36"/>
          <w:sz w:val="21"/>
          <w:szCs w:val="21"/>
        </w:rPr>
        <w:t xml:space="preserve">Strict IPv4/IPv6 format validation, including rejection of CIDR notation in a single-host field with an actionable error, and address-family-mismatch detection between source and destination.</w:t>
      </w:r>
    </w:p>
    <w:p>
      <w:pPr>
        <w:pStyle w:val="ListParagraph"/>
        <w:numPr>
          <w:ilvl w:val="0"/>
          <w:numId w:val="2"/>
        </w:numPr>
        <w:spacing w:after="80" w:line="268"/>
      </w:pPr>
      <w:r>
        <w:rPr>
          <w:color w:val="202A36"/>
          <w:sz w:val="21"/>
          <w:szCs w:val="21"/>
        </w:rPr>
        <w:t xml:space="preserve">Longest-prefix-match subnet resolution, restricted to scope-valid (import-security) subnets; overlapping/tied candidates are surfaced rather than silently resolved.</w:t>
      </w:r>
    </w:p>
    <w:p>
      <w:pPr>
        <w:pStyle w:val="ListParagraph"/>
        <w:numPr>
          <w:ilvl w:val="0"/>
          <w:numId w:val="2"/>
        </w:numPr>
        <w:spacing w:after="80" w:line="268"/>
      </w:pPr>
      <w:r>
        <w:rPr>
          <w:color w:val="202A36"/>
          <w:sz w:val="21"/>
          <w:szCs w:val="21"/>
        </w:rPr>
        <w:t xml:space="preserve">Default-route (0.0.0.0/0 / ::/0) fallback when no specific subnet matches, disambiguated by requiring the same contract's opposite side to hold the default route — not just any default-route EPG in the fabric.</w:t>
      </w:r>
    </w:p>
    <w:p>
      <w:pPr>
        <w:pStyle w:val="ListParagraph"/>
        <w:numPr>
          <w:ilvl w:val="0"/>
          <w:numId w:val="2"/>
        </w:numPr>
        <w:spacing w:after="80" w:line="268"/>
      </w:pPr>
      <w:r>
        <w:rPr>
          <w:color w:val="202A36"/>
          <w:sz w:val="21"/>
          <w:szCs w:val="21"/>
        </w:rPr>
        <w:t xml:space="preserve">Excluded-subnet transparency: if a matching subnet exists but only with route-control scope (not classification-valid), it is shown and explicitly marked as excluded, not silently dropped.</w:t>
      </w:r>
    </w:p>
    <w:p>
      <w:pPr>
        <w:pStyle w:val="Heading2"/>
        <w:spacing w:after="120" w:before="280"/>
      </w:pPr>
      <w:r>
        <w:t xml:space="preserve">5.4 Topology Visualization</w:t>
      </w:r>
    </w:p>
    <w:p>
      <w:pPr>
        <w:pStyle w:val="ListParagraph"/>
        <w:numPr>
          <w:ilvl w:val="0"/>
          <w:numId w:val="2"/>
        </w:numPr>
        <w:spacing w:after="80" w:line="268"/>
      </w:pPr>
      <w:r>
        <w:rPr>
          <w:color w:val="202A36"/>
          <w:sz w:val="21"/>
          <w:szCs w:val="21"/>
        </w:rPr>
        <w:t xml:space="preserve">Node-by-node diagram: Consumer EPG → PBR node(s) → Provider EPG, with per-node device group, leaf/path, BD/VRF/VLAN (both consumer and provider side, including divergent VLANs across an L1→L3 hop), redirect policy, and redirect destination/interface.</w:t>
      </w:r>
    </w:p>
    <w:p>
      <w:pPr>
        <w:pStyle w:val="ListParagraph"/>
        <w:numPr>
          <w:ilvl w:val="0"/>
          <w:numId w:val="2"/>
        </w:numPr>
        <w:spacing w:after="80" w:line="268"/>
      </w:pPr>
      <w:r>
        <w:rPr>
          <w:color w:val="202A36"/>
          <w:sz w:val="21"/>
          <w:szCs w:val="21"/>
        </w:rPr>
        <w:t xml:space="preserve">Per-node health % badge; live/faulty/bypassed/unknown arrow states with a distinct animated “confirmed live” treatment; fault highlighting traces the specific broken hop rather than flagging the whole diagram.</w:t>
      </w:r>
    </w:p>
    <w:p>
      <w:pPr>
        <w:pStyle w:val="ListParagraph"/>
        <w:numPr>
          <w:ilvl w:val="0"/>
          <w:numId w:val="2"/>
        </w:numPr>
        <w:spacing w:after="80" w:line="268"/>
      </w:pPr>
      <w:r>
        <w:rPr>
          <w:color w:val="202A36"/>
          <w:sz w:val="21"/>
          <w:szCs w:val="21"/>
        </w:rPr>
        <w:t xml:space="preserve">PBR threshold &amp; bypass awareness (see § 5.6): a bypassed node is shown ghosted with a literal skip-arc, distinct from a genuinely faulty node.</w:t>
      </w:r>
    </w:p>
    <w:p>
      <w:pPr>
        <w:pStyle w:val="ListParagraph"/>
        <w:numPr>
          <w:ilvl w:val="0"/>
          <w:numId w:val="2"/>
        </w:numPr>
        <w:spacing w:after="80" w:line="268"/>
      </w:pPr>
      <w:r>
        <w:rPr>
          <w:color w:val="202A36"/>
          <w:sz w:val="21"/>
          <w:szCs w:val="21"/>
        </w:rPr>
        <w:t xml:space="preserve">Zoom/pan controls; click-to-copy on IPs and identifiers; VLAN labels rendered directly on the connecting arrows.</w:t>
      </w:r>
    </w:p>
    <w:p>
      <w:pPr>
        <w:pStyle w:val="Heading2"/>
        <w:spacing w:after="120" w:before="280"/>
      </w:pPr>
      <w:r>
        <w:t xml:space="preserve">5.5 Blast Radius</w:t>
      </w:r>
    </w:p>
    <w:p>
      <w:pPr>
        <w:pStyle w:val="ListParagraph"/>
        <w:numPr>
          <w:ilvl w:val="0"/>
          <w:numId w:val="2"/>
        </w:numPr>
        <w:spacing w:after="80" w:line="268"/>
      </w:pPr>
      <w:r>
        <w:rPr>
          <w:color w:val="202A36"/>
          <w:sz w:val="21"/>
          <w:szCs w:val="21"/>
        </w:rPr>
        <w:t xml:space="preserve">For a given service, lists every other service in the same fabric sharing a device group — answering “what else is at risk if I touch this device” before a maintenance window.</w:t>
      </w:r>
    </w:p>
    <w:p>
      <w:pPr>
        <w:pStyle w:val="Heading2"/>
        <w:spacing w:after="120" w:before="280"/>
      </w:pPr>
      <w:r>
        <w:t xml:space="preserve">5.6 PBR Threshold / Bypass Awareness</w:t>
      </w:r>
    </w:p>
    <w:p>
      <w:pPr>
        <w:spacing w:after="160" w:line="276"/>
      </w:pPr>
      <w:r>
        <w:rPr>
          <w:b w:val="false"/>
          <w:bCs w:val="false"/>
          <w:i w:val="false"/>
          <w:iCs w:val="false"/>
          <w:color w:val="202A36"/>
          <w:sz w:val="21"/>
          <w:szCs w:val="21"/>
        </w:rPr>
        <w:t xml:space="preserve">Pulled directly from vnsSvcRedirectPol's thresholdEnable, minThresholdPercent, maxThresholdPercent, and thresholdDownAction attributes (the same fields configurable in the APIC GUI's L4-L7 Policy-Based Redirect policy page), per policy — not a static or assumed value. A node is treated as gracefully bypassed only when all three are true: threshold is enabled, the live-computed active percentage has actually fallen below the configured minimum, and Down Action is literally bypass. A breach with Down Action = permit is shown as a distinct, less severe informational state (traffic is still permitted, just not the same skip-the-node behavior); Down Action = deny is treated as a genuine outage. This distinction was corrected during prototyping after initial validation conflated bypass and permit — documented in § 9.3 as a concrete lesson for the production implementation.</w:t>
      </w:r>
    </w:p>
    <w:p>
      <w:pPr>
        <w:pStyle w:val="Heading2"/>
        <w:spacing w:after="120" w:before="280"/>
      </w:pPr>
      <w:r>
        <w:t xml:space="preserve">5.7 Health Scoring</w:t>
      </w:r>
    </w:p>
    <w:p>
      <w:pPr>
        <w:pStyle w:val="ListParagraph"/>
        <w:numPr>
          <w:ilvl w:val="0"/>
          <w:numId w:val="2"/>
        </w:numPr>
        <w:spacing w:after="80" w:line="268"/>
      </w:pPr>
      <w:r>
        <w:rPr>
          <w:color w:val="202A36"/>
          <w:sz w:val="21"/>
          <w:szCs w:val="21"/>
        </w:rPr>
        <w:t xml:space="preserve">Per L3 node: percentage of configured redirect destinations with a live-learned MAC (fvIp), not just “configured vs not.”</w:t>
      </w:r>
    </w:p>
    <w:p>
      <w:pPr>
        <w:pStyle w:val="ListParagraph"/>
        <w:numPr>
          <w:ilvl w:val="0"/>
          <w:numId w:val="2"/>
        </w:numPr>
        <w:spacing w:after="80" w:line="268"/>
      </w:pPr>
      <w:r>
        <w:rPr>
          <w:color w:val="202A36"/>
          <w:sz w:val="21"/>
          <w:szCs w:val="21"/>
        </w:rPr>
        <w:t xml:space="preserve">Per L1 node: configuration-resolution completeness only (see § 9.1 for why real-time state isn't used).</w:t>
      </w:r>
    </w:p>
    <w:p>
      <w:pPr>
        <w:pStyle w:val="ListParagraph"/>
        <w:numPr>
          <w:ilvl w:val="0"/>
          <w:numId w:val="2"/>
        </w:numPr>
        <w:spacing w:after="80" w:line="268"/>
      </w:pPr>
      <w:r>
        <w:rPr>
          <w:color w:val="202A36"/>
          <w:sz w:val="21"/>
          <w:szCs w:val="21"/>
        </w:rPr>
        <w:t xml:space="preserve">A gracefully bypassed node scores as functioning-as-designed (100%) rather than being penalized like a fault, since the service is continuing correctly without it by policy.</w:t>
      </w:r>
    </w:p>
    <w:p>
      <w:pPr>
        <w:pStyle w:val="Heading2"/>
        <w:spacing w:after="120" w:before="280"/>
      </w:pPr>
      <w:r>
        <w:t xml:space="preserve">5.8 Supporting Features</w:t>
      </w:r>
    </w:p>
    <w:p>
      <w:pPr>
        <w:pStyle w:val="ListParagraph"/>
        <w:numPr>
          <w:ilvl w:val="0"/>
          <w:numId w:val="2"/>
        </w:numPr>
        <w:spacing w:after="80" w:line="268"/>
      </w:pPr>
      <w:r>
        <w:rPr>
          <w:color w:val="202A36"/>
          <w:sz w:val="21"/>
          <w:szCs w:val="21"/>
        </w:rPr>
        <w:t xml:space="preserve">Fault-code glossary tooltips (e.g. F0758) explaining likely cause without a separate lookup.</w:t>
      </w:r>
    </w:p>
    <w:p>
      <w:pPr>
        <w:pStyle w:val="ListParagraph"/>
        <w:numPr>
          <w:ilvl w:val="0"/>
          <w:numId w:val="2"/>
        </w:numPr>
        <w:spacing w:after="80" w:line="268"/>
      </w:pPr>
      <w:r>
        <w:rPr>
          <w:color w:val="202A36"/>
          <w:sz w:val="21"/>
          <w:szCs w:val="21"/>
        </w:rPr>
        <w:t xml:space="preserve">Session-to-session health trend history (currently client-side) with a simple sparkline and “declining/recovering across last N opens” phrasing.</w:t>
      </w:r>
    </w:p>
    <w:p>
      <w:pPr>
        <w:pStyle w:val="ListParagraph"/>
        <w:numPr>
          <w:ilvl w:val="0"/>
          <w:numId w:val="2"/>
        </w:numPr>
        <w:spacing w:after="80" w:line="268"/>
      </w:pPr>
      <w:r>
        <w:rPr>
          <w:color w:val="202A36"/>
          <w:sz w:val="21"/>
          <w:szCs w:val="21"/>
        </w:rPr>
        <w:t xml:space="preserve">JSON export per fabric and per service, for pasting into tickets or further scripting.</w:t>
      </w:r>
    </w:p>
    <w:p>
      <w:r>
        <w:br w:type="page"/>
      </w:r>
    </w:p>
    <w:p>
      <w:pPr>
        <w:pStyle w:val="Heading1"/>
        <w:spacing w:after="160" w:before="360"/>
      </w:pPr>
      <w:r>
        <w:t xml:space="preserve">6. Proposed System Architecture</w:t>
      </w:r>
    </w:p>
    <w:p>
      <w:pPr>
        <w:spacing w:after="160" w:line="276"/>
      </w:pPr>
      <w:r>
        <w:rPr>
          <w:b w:val="false"/>
          <w:bCs w:val="false"/>
          <w:i w:val="false"/>
          <w:iCs w:val="false"/>
          <w:color w:val="202A36"/>
          <w:sz w:val="21"/>
          <w:szCs w:val="21"/>
        </w:rPr>
        <w:t xml:space="preserve">The prototype's logic (data shaping, health/threshold computation, IP matching, blast radius) is portable almost as-is into a real backend service; the primary production work is (a) building a real ingestion/polling pipeline in place of one-off API calls, (b) persisting computed state and history in a real datastore instead of localStorage, and (c) integrating the frontend into NetverseAI's existing shell, auth, and design system.</w:t>
      </w:r>
    </w:p>
    <w:p>
      <w:pPr>
        <w:spacing w:after="160" w:before="1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76650"/>
                    </a:xfrm>
                    <a:prstGeom prst="rect">
                      <a:avLst/>
                    </a:prstGeom>
                  </pic:spPr>
                </pic:pic>
              </a:graphicData>
            </a:graphic>
          </wp:inline>
        </w:drawing>
      </w:r>
    </w:p>
    <w:p>
      <w:pPr>
        <w:pStyle w:val="Heading2"/>
        <w:spacing w:after="120" w:before="280"/>
      </w:pPr>
      <w:r>
        <w:t xml:space="preserve">6.1 Layers</w:t>
      </w:r>
    </w:p>
    <w:p>
      <w:pPr>
        <w:pStyle w:val="ListParagraph"/>
        <w:numPr>
          <w:ilvl w:val="0"/>
          <w:numId w:val="3"/>
        </w:numPr>
        <w:spacing w:after="80" w:line="268"/>
      </w:pPr>
      <w:r>
        <w:rPr>
          <w:color w:val="202A36"/>
          <w:sz w:val="21"/>
          <w:szCs w:val="21"/>
        </w:rPr>
        <w:t xml:space="preserve">ACI Fabrics (existing) — no changes required. Read-only APIC API access, same credentials/connectors NetverseAI already uses for other ACI-derived inventory.</w:t>
      </w:r>
    </w:p>
    <w:p>
      <w:pPr>
        <w:pStyle w:val="ListParagraph"/>
        <w:numPr>
          <w:ilvl w:val="0"/>
          <w:numId w:val="3"/>
        </w:numPr>
        <w:spacing w:after="80" w:line="268"/>
      </w:pPr>
      <w:r>
        <w:rPr>
          <w:color w:val="202A36"/>
          <w:sz w:val="21"/>
          <w:szCs w:val="21"/>
        </w:rPr>
        <w:t xml:space="preserve">PBR Data Ingestion Service (new) — a scheduled/polling backend component per fabric that fetches the object classes in § 7.1 and normalizes them into the domain model in § 7.3.</w:t>
      </w:r>
    </w:p>
    <w:p>
      <w:pPr>
        <w:pStyle w:val="ListParagraph"/>
        <w:numPr>
          <w:ilvl w:val="0"/>
          <w:numId w:val="3"/>
        </w:numPr>
        <w:spacing w:after="80" w:line="268"/>
      </w:pPr>
      <w:r>
        <w:rPr>
          <w:color w:val="202A36"/>
          <w:sz w:val="21"/>
          <w:szCs w:val="21"/>
        </w:rPr>
        <w:t xml:space="preserve">PBR Domain Model &amp; Computation Layer (new) — stateless computation: Graph-Instance/Device-Selection-Policy intersection, health scoring, threshold/bypass evaluation, blast-radius, and the IP-flow matcher. Designed to be unit-testable independent of the ingestion layer.</w:t>
      </w:r>
    </w:p>
    <w:p>
      <w:pPr>
        <w:pStyle w:val="ListParagraph"/>
        <w:numPr>
          <w:ilvl w:val="0"/>
          <w:numId w:val="3"/>
        </w:numPr>
        <w:spacing w:after="80" w:line="268"/>
      </w:pPr>
      <w:r>
        <w:rPr>
          <w:color w:val="202A36"/>
          <w:sz w:val="21"/>
          <w:szCs w:val="21"/>
        </w:rPr>
        <w:t xml:space="preserve">PBR Time-Series Store (new) — persists computed health per service/node over time, replacing the prototype's localStorage-based trend history with a real, multi-user, durable history.</w:t>
      </w:r>
    </w:p>
    <w:p>
      <w:pPr>
        <w:pStyle w:val="ListParagraph"/>
        <w:numPr>
          <w:ilvl w:val="0"/>
          <w:numId w:val="3"/>
        </w:numPr>
        <w:spacing w:after="80" w:line="268"/>
      </w:pPr>
      <w:r>
        <w:rPr>
          <w:color w:val="202A36"/>
          <w:sz w:val="21"/>
          <w:szCs w:val="21"/>
        </w:rPr>
        <w:t xml:space="preserve">PBR Read API (new) — REST endpoints (§ 8) consumed by the frontend; inherits NetverseAI's existing RBAC and session handling.</w:t>
      </w:r>
    </w:p>
    <w:p>
      <w:pPr>
        <w:pStyle w:val="ListParagraph"/>
        <w:numPr>
          <w:ilvl w:val="0"/>
          <w:numId w:val="3"/>
        </w:numPr>
        <w:spacing w:after="80" w:line="268"/>
      </w:pPr>
      <w:r>
        <w:rPr>
          <w:color w:val="202A36"/>
          <w:sz w:val="21"/>
          <w:szCs w:val="21"/>
        </w:rPr>
        <w:t xml:space="preserve">NetverseAI Web UI — PBR module (new) — the dashboard, service browser, topology view, and IP-flow lookup tool, built as a module inside NetverseAI's existing frontend rather than a standalone page.</w:t>
      </w:r>
    </w:p>
    <w:p>
      <w:pPr>
        <w:pStyle w:val="Heading2"/>
        <w:spacing w:after="120" w:before="280"/>
      </w:pPr>
      <w:r>
        <w:t xml:space="preserve">6.2 Why Not Just Ship the Prototype As-Is</w:t>
      </w:r>
    </w:p>
    <w:p>
      <w:pPr>
        <w:spacing w:after="160" w:line="276"/>
      </w:pPr>
      <w:r>
        <w:rPr>
          <w:b w:val="false"/>
          <w:bCs w:val="false"/>
          <w:i w:val="false"/>
          <w:iCs w:val="false"/>
          <w:color w:val="202A36"/>
          <w:sz w:val="21"/>
          <w:szCs w:val="21"/>
        </w:rPr>
        <w:t xml:space="preserve">The prototype is a single static HTML file with no backend: all data was fetched once per session directly from APIC via ad-hoc calls, and all state (health snapshots, trend history) lives in the browser's localStorage. That's appropriate for a feasibility demo but has real production gaps:</w:t>
      </w:r>
    </w:p>
    <w:p>
      <w:pPr>
        <w:pStyle w:val="ListParagraph"/>
        <w:numPr>
          <w:ilvl w:val="0"/>
          <w:numId w:val="2"/>
        </w:numPr>
        <w:spacing w:after="80" w:line="268"/>
      </w:pPr>
      <w:r>
        <w:rPr>
          <w:color w:val="202A36"/>
          <w:sz w:val="21"/>
          <w:szCs w:val="21"/>
        </w:rPr>
        <w:t xml:space="preserve">No shared state across users — two engineers looking at the same fabric would compute health independently and could see different trend history.</w:t>
      </w:r>
    </w:p>
    <w:p>
      <w:pPr>
        <w:pStyle w:val="ListParagraph"/>
        <w:numPr>
          <w:ilvl w:val="0"/>
          <w:numId w:val="2"/>
        </w:numPr>
        <w:spacing w:after="80" w:line="268"/>
      </w:pPr>
      <w:r>
        <w:rPr>
          <w:color w:val="202A36"/>
          <w:sz w:val="21"/>
          <w:szCs w:val="21"/>
        </w:rPr>
        <w:t xml:space="preserve">No polling/refresh model — every load re-fetches from APIC directly, which won't scale to a multi-fabric, multi-user NetverseAI audience.</w:t>
      </w:r>
    </w:p>
    <w:p>
      <w:pPr>
        <w:pStyle w:val="ListParagraph"/>
        <w:numPr>
          <w:ilvl w:val="0"/>
          <w:numId w:val="2"/>
        </w:numPr>
        <w:spacing w:after="80" w:line="268"/>
      </w:pPr>
      <w:r>
        <w:rPr>
          <w:color w:val="202A36"/>
          <w:sz w:val="21"/>
          <w:szCs w:val="21"/>
        </w:rPr>
        <w:t xml:space="preserve">No authentication/authorization integration — it assumes whoever opens the file already has APIC access.</w:t>
      </w:r>
    </w:p>
    <w:p>
      <w:pPr>
        <w:pStyle w:val="ListParagraph"/>
        <w:numPr>
          <w:ilvl w:val="0"/>
          <w:numId w:val="2"/>
        </w:numPr>
        <w:spacing w:after="80" w:line="268"/>
      </w:pPr>
      <w:r>
        <w:rPr>
          <w:color w:val="202A36"/>
          <w:sz w:val="21"/>
          <w:szCs w:val="21"/>
        </w:rPr>
        <w:t xml:space="preserve">No durability — clearing browser storage loses all history.</w:t>
      </w:r>
    </w:p>
    <w:p>
      <w:pPr>
        <w:pStyle w:val="Heading1"/>
        <w:spacing w:after="160" w:before="360"/>
      </w:pPr>
      <w:r>
        <w:t xml:space="preserve">7. Data Ingestion &amp; Domain Model</w:t>
      </w:r>
    </w:p>
    <w:p>
      <w:pPr>
        <w:pStyle w:val="Heading2"/>
        <w:spacing w:after="120" w:before="280"/>
      </w:pPr>
      <w:r>
        <w:t xml:space="preserve">7.1 Required ACI Object Classes</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2000"/>
        <w:gridCol w:w="4800"/>
        <w:gridCol w:w="2550"/>
      </w:tblGrid>
      <w:tr>
        <w:trPr>
          <w:tblHeader/>
        </w:trPr>
        <w:tc>
          <w:tcPr>
            <w:tcW w:type="dxa" w:w="2000"/>
            <w:shd w:fill="1A2634" w:val="clear"/>
            <w:tcMar>
              <w:top w:type="dxa" w:w="100"/>
              <w:left w:type="dxa" w:w="120"/>
              <w:bottom w:type="dxa" w:w="100"/>
              <w:right w:type="dxa" w:w="120"/>
            </w:tcMar>
          </w:tcPr>
          <w:p>
            <w:r>
              <w:rPr>
                <w:b/>
                <w:bCs/>
                <w:color w:val="FFFFFF"/>
                <w:sz w:val="19"/>
                <w:szCs w:val="19"/>
              </w:rPr>
              <w:t xml:space="preserve">Class</w:t>
            </w:r>
          </w:p>
        </w:tc>
        <w:tc>
          <w:tcPr>
            <w:tcW w:type="dxa" w:w="4800"/>
            <w:shd w:fill="1A2634" w:val="clear"/>
            <w:tcMar>
              <w:top w:type="dxa" w:w="100"/>
              <w:left w:type="dxa" w:w="120"/>
              <w:bottom w:type="dxa" w:w="100"/>
              <w:right w:type="dxa" w:w="120"/>
            </w:tcMar>
          </w:tcPr>
          <w:p>
            <w:r>
              <w:rPr>
                <w:b/>
                <w:bCs/>
                <w:color w:val="FFFFFF"/>
                <w:sz w:val="19"/>
                <w:szCs w:val="19"/>
              </w:rPr>
              <w:t xml:space="preserve">Purpose in this feature</w:t>
            </w:r>
          </w:p>
        </w:tc>
        <w:tc>
          <w:tcPr>
            <w:tcW w:type="dxa" w:w="2550"/>
            <w:shd w:fill="1A2634" w:val="clear"/>
            <w:tcMar>
              <w:top w:type="dxa" w:w="100"/>
              <w:left w:type="dxa" w:w="120"/>
              <w:bottom w:type="dxa" w:w="100"/>
              <w:right w:type="dxa" w:w="120"/>
            </w:tcMar>
          </w:tcPr>
          <w:p>
            <w:r>
              <w:rPr>
                <w:b/>
                <w:bCs/>
                <w:color w:val="FFFFFF"/>
                <w:sz w:val="19"/>
                <w:szCs w:val="19"/>
              </w:rPr>
              <w:t xml:space="preserve">Fetch note</w:t>
            </w:r>
          </w:p>
        </w:tc>
      </w:tr>
      <w:tr>
        <w:tc>
          <w:tcPr>
            <w:tcW w:type="dxa" w:w="2000"/>
            <w:tcMar>
              <w:top w:type="dxa" w:w="100"/>
              <w:left w:type="dxa" w:w="120"/>
              <w:bottom w:type="dxa" w:w="100"/>
              <w:right w:type="dxa" w:w="120"/>
            </w:tcMar>
          </w:tcPr>
          <w:p>
            <w:r>
              <w:rPr>
                <w:b w:val="false"/>
                <w:bCs w:val="false"/>
                <w:color w:val="202A36"/>
                <w:sz w:val="19"/>
                <w:szCs w:val="19"/>
              </w:rPr>
              <w:t xml:space="preserve">vnsGraphInst</w:t>
            </w:r>
          </w:p>
        </w:tc>
        <w:tc>
          <w:tcPr>
            <w:tcW w:type="dxa" w:w="4800"/>
            <w:tcMar>
              <w:top w:type="dxa" w:w="100"/>
              <w:left w:type="dxa" w:w="120"/>
              <w:bottom w:type="dxa" w:w="100"/>
              <w:right w:type="dxa" w:w="120"/>
            </w:tcMar>
          </w:tcPr>
          <w:p>
            <w:r>
              <w:rPr>
                <w:b w:val="false"/>
                <w:bCs w:val="false"/>
                <w:color w:val="202A36"/>
                <w:sz w:val="19"/>
                <w:szCs w:val="19"/>
              </w:rPr>
              <w:t xml:space="preserve">Deployed service graph instances; source of fault/health status (e.g. F0758).</w:t>
            </w:r>
          </w:p>
        </w:tc>
        <w:tc>
          <w:tcPr>
            <w:tcW w:type="dxa" w:w="2550"/>
            <w:tcMar>
              <w:top w:type="dxa" w:w="100"/>
              <w:left w:type="dxa" w:w="120"/>
              <w:bottom w:type="dxa" w:w="100"/>
              <w:right w:type="dxa" w:w="120"/>
            </w:tcMar>
          </w:tcPr>
          <w:p>
            <w:r>
              <w:rPr>
                <w:b w:val="false"/>
                <w:bCs w:val="false"/>
                <w:color w:val="202A36"/>
                <w:sz w:val="19"/>
                <w:szCs w:val="19"/>
              </w:rPr>
              <w:t xml:space="preserve">Poll per fabric; cheap, high-value for fault detection.</w:t>
            </w:r>
          </w:p>
        </w:tc>
      </w:tr>
      <w:tr>
        <w:tc>
          <w:tcPr>
            <w:tcW w:type="dxa" w:w="2000"/>
            <w:tcMar>
              <w:top w:type="dxa" w:w="100"/>
              <w:left w:type="dxa" w:w="120"/>
              <w:bottom w:type="dxa" w:w="100"/>
              <w:right w:type="dxa" w:w="120"/>
            </w:tcMar>
          </w:tcPr>
          <w:p>
            <w:r>
              <w:rPr>
                <w:b w:val="false"/>
                <w:bCs w:val="false"/>
                <w:color w:val="202A36"/>
                <w:sz w:val="19"/>
                <w:szCs w:val="19"/>
              </w:rPr>
              <w:t xml:space="preserve">vnsLDevCtx</w:t>
            </w:r>
          </w:p>
        </w:tc>
        <w:tc>
          <w:tcPr>
            <w:tcW w:type="dxa" w:w="4800"/>
            <w:tcMar>
              <w:top w:type="dxa" w:w="100"/>
              <w:left w:type="dxa" w:w="120"/>
              <w:bottom w:type="dxa" w:w="100"/>
              <w:right w:type="dxa" w:w="120"/>
            </w:tcMar>
          </w:tcPr>
          <w:p>
            <w:r>
              <w:rPr>
                <w:b w:val="false"/>
                <w:bCs w:val="false"/>
                <w:color w:val="202A36"/>
                <w:sz w:val="19"/>
                <w:szCs w:val="19"/>
              </w:rPr>
              <w:t xml:space="preserve">Device Selection Policy: per contract/graph/node consumer &amp; provider connector bindings (BD, VRF, L3Out/EPG, redirect policy).</w:t>
            </w:r>
          </w:p>
        </w:tc>
        <w:tc>
          <w:tcPr>
            <w:tcW w:type="dxa" w:w="2550"/>
            <w:tcMar>
              <w:top w:type="dxa" w:w="100"/>
              <w:left w:type="dxa" w:w="120"/>
              <w:bottom w:type="dxa" w:w="100"/>
              <w:right w:type="dxa" w:w="120"/>
            </w:tcMar>
          </w:tcPr>
          <w:p>
            <w:r>
              <w:rPr>
                <w:b w:val="false"/>
                <w:bCs w:val="false"/>
                <w:color w:val="202A36"/>
                <w:sz w:val="19"/>
                <w:szCs w:val="19"/>
              </w:rPr>
              <w:t xml:space="preserve">Full subtree fetch (vnsLIfCtx and its Rs* children) required — this is the richest structural source.</w:t>
            </w:r>
          </w:p>
        </w:tc>
      </w:tr>
      <w:tr>
        <w:tc>
          <w:tcPr>
            <w:tcW w:type="dxa" w:w="2000"/>
            <w:tcMar>
              <w:top w:type="dxa" w:w="100"/>
              <w:left w:type="dxa" w:w="120"/>
              <w:bottom w:type="dxa" w:w="100"/>
              <w:right w:type="dxa" w:w="120"/>
            </w:tcMar>
          </w:tcPr>
          <w:p>
            <w:r>
              <w:rPr>
                <w:b w:val="false"/>
                <w:bCs w:val="false"/>
                <w:color w:val="202A36"/>
                <w:sz w:val="19"/>
                <w:szCs w:val="19"/>
              </w:rPr>
              <w:t xml:space="preserve">vnsCDev / vnsCIf / vnsRsCIfPathAtt</w:t>
            </w:r>
          </w:p>
        </w:tc>
        <w:tc>
          <w:tcPr>
            <w:tcW w:type="dxa" w:w="4800"/>
            <w:tcMar>
              <w:top w:type="dxa" w:w="100"/>
              <w:left w:type="dxa" w:w="120"/>
              <w:bottom w:type="dxa" w:w="100"/>
              <w:right w:type="dxa" w:w="120"/>
            </w:tcMar>
          </w:tcPr>
          <w:p>
            <w:r>
              <w:rPr>
                <w:b w:val="false"/>
                <w:bCs w:val="false"/>
                <w:color w:val="202A36"/>
                <w:sz w:val="19"/>
                <w:szCs w:val="19"/>
              </w:rPr>
              <w:t xml:space="preserve">Device group → concrete device → leaf/path mapping.</w:t>
            </w:r>
          </w:p>
        </w:tc>
        <w:tc>
          <w:tcPr>
            <w:tcW w:type="dxa" w:w="2550"/>
            <w:tcMar>
              <w:top w:type="dxa" w:w="100"/>
              <w:left w:type="dxa" w:w="120"/>
              <w:bottom w:type="dxa" w:w="100"/>
              <w:right w:type="dxa" w:w="120"/>
            </w:tcMar>
          </w:tcPr>
          <w:p>
            <w:r>
              <w:rPr>
                <w:b w:val="false"/>
                <w:bCs w:val="false"/>
                <w:color w:val="202A36"/>
                <w:sz w:val="19"/>
                <w:szCs w:val="19"/>
              </w:rPr>
              <w:t xml:space="preserve">vnsCIf.operSt found unreliable in current environment — see § 9.1. Do not use for real-time interface state.</w:t>
            </w:r>
          </w:p>
        </w:tc>
      </w:tr>
      <w:tr>
        <w:tc>
          <w:tcPr>
            <w:tcW w:type="dxa" w:w="2000"/>
            <w:tcMar>
              <w:top w:type="dxa" w:w="100"/>
              <w:left w:type="dxa" w:w="120"/>
              <w:bottom w:type="dxa" w:w="100"/>
              <w:right w:type="dxa" w:w="120"/>
            </w:tcMar>
          </w:tcPr>
          <w:p>
            <w:r>
              <w:rPr>
                <w:b w:val="false"/>
                <w:bCs w:val="false"/>
                <w:color w:val="202A36"/>
                <w:sz w:val="19"/>
                <w:szCs w:val="19"/>
              </w:rPr>
              <w:t xml:space="preserve">vnsSvcRedirectPol / vnsRedirectDest</w:t>
            </w:r>
          </w:p>
        </w:tc>
        <w:tc>
          <w:tcPr>
            <w:tcW w:type="dxa" w:w="4800"/>
            <w:tcMar>
              <w:top w:type="dxa" w:w="100"/>
              <w:left w:type="dxa" w:w="120"/>
              <w:bottom w:type="dxa" w:w="100"/>
              <w:right w:type="dxa" w:w="120"/>
            </w:tcMar>
          </w:tcPr>
          <w:p>
            <w:r>
              <w:rPr>
                <w:b w:val="false"/>
                <w:bCs w:val="false"/>
                <w:color w:val="202A36"/>
                <w:sz w:val="19"/>
                <w:szCs w:val="19"/>
              </w:rPr>
              <w:t xml:space="preserve">L3 redirect policy: destType, hashing, and — critically — thresholdEnable/minThresholdPercent/maxThresholdPercent/thresholdDownAction.</w:t>
            </w:r>
          </w:p>
        </w:tc>
        <w:tc>
          <w:tcPr>
            <w:tcW w:type="dxa" w:w="2550"/>
            <w:tcMar>
              <w:top w:type="dxa" w:w="100"/>
              <w:left w:type="dxa" w:w="120"/>
              <w:bottom w:type="dxa" w:w="100"/>
              <w:right w:type="dxa" w:w="120"/>
            </w:tcMar>
          </w:tcPr>
          <w:p>
            <w:r>
              <w:rPr>
                <w:b w:val="false"/>
                <w:bCs w:val="false"/>
                <w:color w:val="202A36"/>
                <w:sz w:val="19"/>
                <w:szCs w:val="19"/>
              </w:rPr>
              <w:t xml:space="preserve">Must fetch full attributes; naming-only omits threshold fields entirely.</w:t>
            </w:r>
          </w:p>
        </w:tc>
      </w:tr>
      <w:tr>
        <w:tc>
          <w:tcPr>
            <w:tcW w:type="dxa" w:w="2000"/>
            <w:tcMar>
              <w:top w:type="dxa" w:w="100"/>
              <w:left w:type="dxa" w:w="120"/>
              <w:bottom w:type="dxa" w:w="100"/>
              <w:right w:type="dxa" w:w="120"/>
            </w:tcMar>
          </w:tcPr>
          <w:p>
            <w:r>
              <w:rPr>
                <w:b w:val="false"/>
                <w:bCs w:val="false"/>
                <w:color w:val="202A36"/>
                <w:sz w:val="19"/>
                <w:szCs w:val="19"/>
              </w:rPr>
              <w:t xml:space="preserve">vnsL1L2RedirectDest / vnsRsToCIf</w:t>
            </w:r>
          </w:p>
        </w:tc>
        <w:tc>
          <w:tcPr>
            <w:tcW w:type="dxa" w:w="4800"/>
            <w:tcMar>
              <w:top w:type="dxa" w:w="100"/>
              <w:left w:type="dxa" w:w="120"/>
              <w:bottom w:type="dxa" w:w="100"/>
              <w:right w:type="dxa" w:w="120"/>
            </w:tcMar>
          </w:tcPr>
          <w:p>
            <w:r>
              <w:rPr>
                <w:b w:val="false"/>
                <w:bCs w:val="false"/>
                <w:color w:val="202A36"/>
                <w:sz w:val="19"/>
                <w:szCs w:val="19"/>
              </w:rPr>
              <w:t xml:space="preserve">L1/L2 transparent redirect: the actual physical/port-channel interface used, not an IP.</w:t>
            </w:r>
          </w:p>
        </w:tc>
        <w:tc>
          <w:tcPr>
            <w:tcW w:type="dxa" w:w="2550"/>
            <w:tcMar>
              <w:top w:type="dxa" w:w="100"/>
              <w:left w:type="dxa" w:w="120"/>
              <w:bottom w:type="dxa" w:w="100"/>
              <w:right w:type="dxa" w:w="120"/>
            </w:tcMar>
          </w:tcPr>
          <w:p>
            <w:r>
              <w:rPr>
                <w:b w:val="false"/>
                <w:bCs w:val="false"/>
                <w:color w:val="202A36"/>
                <w:sz w:val="19"/>
                <w:szCs w:val="19"/>
              </w:rPr>
              <w:t xml:space="preserve">Distinct class from vnsRedirectDest — easy to miss if only L3 redirect is anticipated.</w:t>
            </w:r>
          </w:p>
        </w:tc>
      </w:tr>
      <w:tr>
        <w:tc>
          <w:tcPr>
            <w:tcW w:type="dxa" w:w="2000"/>
            <w:tcMar>
              <w:top w:type="dxa" w:w="100"/>
              <w:left w:type="dxa" w:w="120"/>
              <w:bottom w:type="dxa" w:w="100"/>
              <w:right w:type="dxa" w:w="120"/>
            </w:tcMar>
          </w:tcPr>
          <w:p>
            <w:r>
              <w:rPr>
                <w:b w:val="false"/>
                <w:bCs w:val="false"/>
                <w:color w:val="202A36"/>
                <w:sz w:val="19"/>
                <w:szCs w:val="19"/>
              </w:rPr>
              <w:t xml:space="preserve">l3extSubnet</w:t>
            </w:r>
          </w:p>
        </w:tc>
        <w:tc>
          <w:tcPr>
            <w:tcW w:type="dxa" w:w="4800"/>
            <w:tcMar>
              <w:top w:type="dxa" w:w="100"/>
              <w:left w:type="dxa" w:w="120"/>
              <w:bottom w:type="dxa" w:w="100"/>
              <w:right w:type="dxa" w:w="120"/>
            </w:tcMar>
          </w:tcPr>
          <w:p>
            <w:r>
              <w:rPr>
                <w:b w:val="false"/>
                <w:bCs w:val="false"/>
                <w:color w:val="202A36"/>
                <w:sz w:val="19"/>
                <w:szCs w:val="19"/>
              </w:rPr>
              <w:t xml:space="preserve">External EPG subnets, with the scope attribute distinguishing classification-valid (import-security) from route-control-only.</w:t>
            </w:r>
          </w:p>
        </w:tc>
        <w:tc>
          <w:tcPr>
            <w:tcW w:type="dxa" w:w="2550"/>
            <w:tcMar>
              <w:top w:type="dxa" w:w="100"/>
              <w:left w:type="dxa" w:w="120"/>
              <w:bottom w:type="dxa" w:w="100"/>
              <w:right w:type="dxa" w:w="120"/>
            </w:tcMar>
          </w:tcPr>
          <w:p>
            <w:r>
              <w:rPr>
                <w:b w:val="false"/>
                <w:bCs w:val="false"/>
                <w:color w:val="202A36"/>
                <w:sz w:val="19"/>
                <w:szCs w:val="19"/>
              </w:rPr>
              <w:t xml:space="preserve">Fetch all subnets per tenant; filter by scope client- or server-side, do not assume presence implies validity.</w:t>
            </w:r>
          </w:p>
        </w:tc>
      </w:tr>
      <w:tr>
        <w:tc>
          <w:tcPr>
            <w:tcW w:type="dxa" w:w="2000"/>
            <w:tcMar>
              <w:top w:type="dxa" w:w="100"/>
              <w:left w:type="dxa" w:w="120"/>
              <w:bottom w:type="dxa" w:w="100"/>
              <w:right w:type="dxa" w:w="120"/>
            </w:tcMar>
          </w:tcPr>
          <w:p>
            <w:r>
              <w:rPr>
                <w:b w:val="false"/>
                <w:bCs w:val="false"/>
                <w:color w:val="202A36"/>
                <w:sz w:val="19"/>
                <w:szCs w:val="19"/>
              </w:rPr>
              <w:t xml:space="preserve">fvRsProv / fvRsCons</w:t>
            </w:r>
          </w:p>
        </w:tc>
        <w:tc>
          <w:tcPr>
            <w:tcW w:type="dxa" w:w="4800"/>
            <w:tcMar>
              <w:top w:type="dxa" w:w="100"/>
              <w:left w:type="dxa" w:w="120"/>
              <w:bottom w:type="dxa" w:w="100"/>
              <w:right w:type="dxa" w:w="120"/>
            </w:tcMar>
          </w:tcPr>
          <w:p>
            <w:r>
              <w:rPr>
                <w:b w:val="false"/>
                <w:bCs w:val="false"/>
                <w:color w:val="202A36"/>
                <w:sz w:val="19"/>
                <w:szCs w:val="19"/>
              </w:rPr>
              <w:t xml:space="preserve">Contract ↔ External EPG bindings (which L3Out/EPG is consumer/provider of which contract).</w:t>
            </w:r>
          </w:p>
        </w:tc>
        <w:tc>
          <w:tcPr>
            <w:tcW w:type="dxa" w:w="2550"/>
            <w:tcMar>
              <w:top w:type="dxa" w:w="100"/>
              <w:left w:type="dxa" w:w="120"/>
              <w:bottom w:type="dxa" w:w="100"/>
              <w:right w:type="dxa" w:w="120"/>
            </w:tcMar>
          </w:tcPr>
          <w:p>
            <w:r>
              <w:rPr>
                <w:b w:val="false"/>
                <w:bCs w:val="false"/>
                <w:color w:val="202A36"/>
                <w:sz w:val="19"/>
                <w:szCs w:val="19"/>
              </w:rPr>
              <w:t xml:space="preserve">MUST fetch complete result sets with full attributes — see § 9.2, a truncation bug found and fixed during prototyping.</w:t>
            </w:r>
          </w:p>
        </w:tc>
      </w:tr>
      <w:tr>
        <w:tc>
          <w:tcPr>
            <w:tcW w:type="dxa" w:w="2000"/>
            <w:tcMar>
              <w:top w:type="dxa" w:w="100"/>
              <w:left w:type="dxa" w:w="120"/>
              <w:bottom w:type="dxa" w:w="100"/>
              <w:right w:type="dxa" w:w="120"/>
            </w:tcMar>
          </w:tcPr>
          <w:p>
            <w:r>
              <w:rPr>
                <w:b w:val="false"/>
                <w:bCs w:val="false"/>
                <w:color w:val="202A36"/>
                <w:sz w:val="19"/>
                <w:szCs w:val="19"/>
              </w:rPr>
              <w:t xml:space="preserve">fvIp</w:t>
            </w:r>
          </w:p>
        </w:tc>
        <w:tc>
          <w:tcPr>
            <w:tcW w:type="dxa" w:w="4800"/>
            <w:tcMar>
              <w:top w:type="dxa" w:w="100"/>
              <w:left w:type="dxa" w:w="120"/>
              <w:bottom w:type="dxa" w:w="100"/>
              <w:right w:type="dxa" w:w="120"/>
            </w:tcMar>
          </w:tcPr>
          <w:p>
            <w:r>
              <w:rPr>
                <w:b w:val="false"/>
                <w:bCs w:val="false"/>
                <w:color w:val="202A36"/>
                <w:sz w:val="19"/>
                <w:szCs w:val="19"/>
              </w:rPr>
              <w:t xml:space="preserve">Learned endpoint IPs (scoped to LDevInst) — the real learned-MAC signal for redirect destination liveness.</w:t>
            </w:r>
          </w:p>
        </w:tc>
        <w:tc>
          <w:tcPr>
            <w:tcW w:type="dxa" w:w="2550"/>
            <w:tcMar>
              <w:top w:type="dxa" w:w="100"/>
              <w:left w:type="dxa" w:w="120"/>
              <w:bottom w:type="dxa" w:w="100"/>
              <w:right w:type="dxa" w:w="120"/>
            </w:tcMar>
          </w:tcPr>
          <w:p>
            <w:r>
              <w:rPr>
                <w:b w:val="false"/>
                <w:bCs w:val="false"/>
                <w:color w:val="202A36"/>
                <w:sz w:val="19"/>
                <w:szCs w:val="19"/>
              </w:rPr>
              <w:t xml:space="preserve">Poll more frequently than structural classes; this is the most time-sensitive input to health scoring.</w:t>
            </w:r>
          </w:p>
        </w:tc>
      </w:tr>
    </w:tbl>
    <w:p>
      <w:pPr>
        <w:pStyle w:val="Heading2"/>
        <w:spacing w:after="120" w:before="280"/>
      </w:pPr>
      <w:r>
        <w:t xml:space="preserve">7.2 Proposed Polling Cadence</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3600"/>
        <w:gridCol w:w="2400"/>
        <w:gridCol w:w="3350"/>
      </w:tblGrid>
      <w:tr>
        <w:trPr>
          <w:tblHeader/>
        </w:trPr>
        <w:tc>
          <w:tcPr>
            <w:tcW w:type="dxa" w:w="3600"/>
            <w:shd w:fill="1A2634" w:val="clear"/>
            <w:tcMar>
              <w:top w:type="dxa" w:w="100"/>
              <w:left w:type="dxa" w:w="120"/>
              <w:bottom w:type="dxa" w:w="100"/>
              <w:right w:type="dxa" w:w="120"/>
            </w:tcMar>
          </w:tcPr>
          <w:p>
            <w:r>
              <w:rPr>
                <w:b/>
                <w:bCs/>
                <w:color w:val="FFFFFF"/>
                <w:sz w:val="19"/>
                <w:szCs w:val="19"/>
              </w:rPr>
              <w:t xml:space="preserve">Data category</w:t>
            </w:r>
          </w:p>
        </w:tc>
        <w:tc>
          <w:tcPr>
            <w:tcW w:type="dxa" w:w="2400"/>
            <w:shd w:fill="1A2634" w:val="clear"/>
            <w:tcMar>
              <w:top w:type="dxa" w:w="100"/>
              <w:left w:type="dxa" w:w="120"/>
              <w:bottom w:type="dxa" w:w="100"/>
              <w:right w:type="dxa" w:w="120"/>
            </w:tcMar>
          </w:tcPr>
          <w:p>
            <w:r>
              <w:rPr>
                <w:b/>
                <w:bCs/>
                <w:color w:val="FFFFFF"/>
                <w:sz w:val="19"/>
                <w:szCs w:val="19"/>
              </w:rPr>
              <w:t xml:space="preserve">Suggested interval</w:t>
            </w:r>
          </w:p>
        </w:tc>
        <w:tc>
          <w:tcPr>
            <w:tcW w:type="dxa" w:w="3350"/>
            <w:shd w:fill="1A2634" w:val="clear"/>
            <w:tcMar>
              <w:top w:type="dxa" w:w="100"/>
              <w:left w:type="dxa" w:w="120"/>
              <w:bottom w:type="dxa" w:w="100"/>
              <w:right w:type="dxa" w:w="120"/>
            </w:tcMar>
          </w:tcPr>
          <w:p>
            <w:r>
              <w:rPr>
                <w:b/>
                <w:bCs/>
                <w:color w:val="FFFFFF"/>
                <w:sz w:val="19"/>
                <w:szCs w:val="19"/>
              </w:rPr>
              <w:t xml:space="preserve">Rationale</w:t>
            </w:r>
          </w:p>
        </w:tc>
      </w:tr>
      <w:tr>
        <w:tc>
          <w:tcPr>
            <w:tcW w:type="dxa" w:w="3600"/>
            <w:tcMar>
              <w:top w:type="dxa" w:w="100"/>
              <w:left w:type="dxa" w:w="120"/>
              <w:bottom w:type="dxa" w:w="100"/>
              <w:right w:type="dxa" w:w="120"/>
            </w:tcMar>
          </w:tcPr>
          <w:p>
            <w:r>
              <w:rPr>
                <w:b w:val="false"/>
                <w:bCs w:val="false"/>
                <w:color w:val="202A36"/>
                <w:sz w:val="19"/>
                <w:szCs w:val="19"/>
              </w:rPr>
              <w:t xml:space="preserve">Fault/health (vnsGraphInst, fvIp)</w:t>
            </w:r>
          </w:p>
        </w:tc>
        <w:tc>
          <w:tcPr>
            <w:tcW w:type="dxa" w:w="2400"/>
            <w:tcMar>
              <w:top w:type="dxa" w:w="100"/>
              <w:left w:type="dxa" w:w="120"/>
              <w:bottom w:type="dxa" w:w="100"/>
              <w:right w:type="dxa" w:w="120"/>
            </w:tcMar>
          </w:tcPr>
          <w:p>
            <w:r>
              <w:rPr>
                <w:b w:val="false"/>
                <w:bCs w:val="false"/>
                <w:color w:val="202A36"/>
                <w:sz w:val="19"/>
                <w:szCs w:val="19"/>
              </w:rPr>
              <w:t xml:space="preserve">1–5 minutes</w:t>
            </w:r>
          </w:p>
        </w:tc>
        <w:tc>
          <w:tcPr>
            <w:tcW w:type="dxa" w:w="3350"/>
            <w:tcMar>
              <w:top w:type="dxa" w:w="100"/>
              <w:left w:type="dxa" w:w="120"/>
              <w:bottom w:type="dxa" w:w="100"/>
              <w:right w:type="dxa" w:w="120"/>
            </w:tcMar>
          </w:tcPr>
          <w:p>
            <w:r>
              <w:rPr>
                <w:b w:val="false"/>
                <w:bCs w:val="false"/>
                <w:color w:val="202A36"/>
                <w:sz w:val="19"/>
                <w:szCs w:val="19"/>
              </w:rPr>
              <w:t xml:space="preserve">Time-sensitive; drives the health score and threshold/bypass evaluation engineers act on.</w:t>
            </w:r>
          </w:p>
        </w:tc>
      </w:tr>
      <w:tr>
        <w:tc>
          <w:tcPr>
            <w:tcW w:type="dxa" w:w="3600"/>
            <w:tcMar>
              <w:top w:type="dxa" w:w="100"/>
              <w:left w:type="dxa" w:w="120"/>
              <w:bottom w:type="dxa" w:w="100"/>
              <w:right w:type="dxa" w:w="120"/>
            </w:tcMar>
          </w:tcPr>
          <w:p>
            <w:r>
              <w:rPr>
                <w:b w:val="false"/>
                <w:bCs w:val="false"/>
                <w:color w:val="202A36"/>
                <w:sz w:val="19"/>
                <w:szCs w:val="19"/>
              </w:rPr>
              <w:t xml:space="preserve">Structural (vnsLDevCtx, vnsCDev, vnsSvcRedirectPol, l3extSubnet, fvRsProv/fvRsCons)</w:t>
            </w:r>
          </w:p>
        </w:tc>
        <w:tc>
          <w:tcPr>
            <w:tcW w:type="dxa" w:w="2400"/>
            <w:tcMar>
              <w:top w:type="dxa" w:w="100"/>
              <w:left w:type="dxa" w:w="120"/>
              <w:bottom w:type="dxa" w:w="100"/>
              <w:right w:type="dxa" w:w="120"/>
            </w:tcMar>
          </w:tcPr>
          <w:p>
            <w:r>
              <w:rPr>
                <w:b w:val="false"/>
                <w:bCs w:val="false"/>
                <w:color w:val="202A36"/>
                <w:sz w:val="19"/>
                <w:szCs w:val="19"/>
              </w:rPr>
              <w:t xml:space="preserve">15–60 minutes, or on-demand refresh</w:t>
            </w:r>
          </w:p>
        </w:tc>
        <w:tc>
          <w:tcPr>
            <w:tcW w:type="dxa" w:w="3350"/>
            <w:tcMar>
              <w:top w:type="dxa" w:w="100"/>
              <w:left w:type="dxa" w:w="120"/>
              <w:bottom w:type="dxa" w:w="100"/>
              <w:right w:type="dxa" w:w="120"/>
            </w:tcMar>
          </w:tcPr>
          <w:p>
            <w:r>
              <w:rPr>
                <w:b w:val="false"/>
                <w:bCs w:val="false"/>
                <w:color w:val="202A36"/>
                <w:sz w:val="19"/>
                <w:szCs w:val="19"/>
              </w:rPr>
              <w:t xml:space="preserve">Changes infrequently (policy/config changes); expensive full-subtree fetches, no need for minute-level polling.</w:t>
            </w:r>
          </w:p>
        </w:tc>
      </w:tr>
      <w:tr>
        <w:tc>
          <w:tcPr>
            <w:tcW w:type="dxa" w:w="3600"/>
            <w:tcMar>
              <w:top w:type="dxa" w:w="100"/>
              <w:left w:type="dxa" w:w="120"/>
              <w:bottom w:type="dxa" w:w="100"/>
              <w:right w:type="dxa" w:w="120"/>
            </w:tcMar>
          </w:tcPr>
          <w:p>
            <w:r>
              <w:rPr>
                <w:b w:val="false"/>
                <w:bCs w:val="false"/>
                <w:color w:val="202A36"/>
                <w:sz w:val="19"/>
                <w:szCs w:val="19"/>
              </w:rPr>
              <w:t xml:space="preserve">vnsL1L2RedirectDest</w:t>
            </w:r>
          </w:p>
        </w:tc>
        <w:tc>
          <w:tcPr>
            <w:tcW w:type="dxa" w:w="2400"/>
            <w:tcMar>
              <w:top w:type="dxa" w:w="100"/>
              <w:left w:type="dxa" w:w="120"/>
              <w:bottom w:type="dxa" w:w="100"/>
              <w:right w:type="dxa" w:w="120"/>
            </w:tcMar>
          </w:tcPr>
          <w:p>
            <w:r>
              <w:rPr>
                <w:b w:val="false"/>
                <w:bCs w:val="false"/>
                <w:color w:val="202A36"/>
                <w:sz w:val="19"/>
                <w:szCs w:val="19"/>
              </w:rPr>
              <w:t xml:space="preserve">With structural batch</w:t>
            </w:r>
          </w:p>
        </w:tc>
        <w:tc>
          <w:tcPr>
            <w:tcW w:type="dxa" w:w="3350"/>
            <w:tcMar>
              <w:top w:type="dxa" w:w="100"/>
              <w:left w:type="dxa" w:w="120"/>
              <w:bottom w:type="dxa" w:w="100"/>
              <w:right w:type="dxa" w:w="120"/>
            </w:tcMar>
          </w:tcPr>
          <w:p>
            <w:r>
              <w:rPr>
                <w:b w:val="false"/>
                <w:bCs w:val="false"/>
                <w:color w:val="202A36"/>
                <w:sz w:val="19"/>
                <w:szCs w:val="19"/>
              </w:rPr>
              <w:t xml:space="preserve">Same rationale as above.</w:t>
            </w:r>
          </w:p>
        </w:tc>
      </w:tr>
    </w:tbl>
    <w:p>
      <w:pPr>
        <w:spacing w:after="160" w:line="276"/>
      </w:pPr>
      <w:r>
        <w:rPr>
          <w:b w:val="false"/>
          <w:bCs w:val="false"/>
          <w:i/>
          <w:iCs/>
          <w:color w:val="202A36"/>
          <w:sz w:val="21"/>
          <w:szCs w:val="21"/>
        </w:rPr>
        <w:t xml:space="preserve">Exact intervals should be tuned against NetverseAI's existing ACI polling infrastructure and APIC load budget; the split between fast-changing health data and slow-changing structural data is the important design point, not the specific numbers above.</w:t>
      </w:r>
    </w:p>
    <w:p>
      <w:pPr>
        <w:pStyle w:val="Heading2"/>
        <w:spacing w:after="120" w:before="280"/>
      </w:pPr>
      <w:r>
        <w:t xml:space="preserve">7.3 Domain Model</w:t>
      </w:r>
    </w:p>
    <w:p>
      <w:pPr>
        <w:pStyle w:val="Heading3"/>
        <w:spacing w:after="100" w:before="200"/>
      </w:pPr>
      <w:r>
        <w:t xml:space="preserve">7.3.1 Service Identity: the Intersection Rule</w:t>
      </w:r>
    </w:p>
    <w:p>
      <w:pPr>
        <w:spacing w:after="160" w:line="276"/>
      </w:pPr>
      <w:r>
        <w:rPr>
          <w:b w:val="false"/>
          <w:bCs w:val="false"/>
          <w:i w:val="false"/>
          <w:iCs w:val="false"/>
          <w:color w:val="202A36"/>
          <w:sz w:val="21"/>
          <w:szCs w:val="21"/>
        </w:rPr>
        <w:t xml:space="preserve">A service graph is only surfaced if its (contract, graph) pair exists in both vnsGraphInst (it is actually deployed) and vnsLDevCtx (it has a resolvable device selection policy). This was a deliberate correction during prototyping after finding fabrics where the two sets diverge — e.g. Bangalore had 24 Device Selection Policy entries against only 19 Deployed Graph Instances; Mumbai had 2 Deployed Graph Instances (including one of its 4 known-failing graphs) with no matching Device Selection Policy at all. Showing the union would misrepresent orphaned/stale policy entries as live services, or vice-versa.</w:t>
      </w:r>
    </w:p>
    <w:p>
      <w:pPr>
        <w:pStyle w:val="Heading3"/>
        <w:spacing w:after="100" w:before="200"/>
      </w:pPr>
      <w:r>
        <w:t xml:space="preserve">7.3.2 Core Entities</w:t>
      </w:r>
    </w:p>
    <w:p>
      <w:pPr>
        <w:pStyle w:val="ListParagraph"/>
        <w:numPr>
          <w:ilvl w:val="0"/>
          <w:numId w:val="2"/>
        </w:numPr>
        <w:spacing w:after="80" w:line="268"/>
      </w:pPr>
      <w:r>
        <w:rPr>
          <w:color w:val="202A36"/>
          <w:sz w:val="21"/>
          <w:szCs w:val="21"/>
        </w:rPr>
        <w:t xml:space="preserve">Fabric → { tenant, total/healthy/failed counts, Service[] }</w:t>
      </w:r>
    </w:p>
    <w:p>
      <w:pPr>
        <w:pStyle w:val="ListParagraph"/>
        <w:numPr>
          <w:ilvl w:val="0"/>
          <w:numId w:val="2"/>
        </w:numPr>
        <w:spacing w:after="80" w:line="268"/>
      </w:pPr>
      <w:r>
        <w:rPr>
          <w:color w:val="202A36"/>
          <w:sz w:val="21"/>
          <w:szCs w:val="21"/>
        </w:rPr>
        <w:t xml:space="preserve">Service → { contract, graph, status, fault, Consumer EPG[], Provider EPG[], Node[] }</w:t>
      </w:r>
    </w:p>
    <w:p>
      <w:pPr>
        <w:pStyle w:val="ListParagraph"/>
        <w:numPr>
          <w:ilvl w:val="0"/>
          <w:numId w:val="2"/>
        </w:numPr>
        <w:spacing w:after="80" w:line="268"/>
      </w:pPr>
      <w:r>
        <w:rPr>
          <w:color w:val="202A36"/>
          <w:sz w:val="21"/>
          <w:szCs w:val="21"/>
        </w:rPr>
        <w:t xml:space="preserve">Consumer/Provider EPG entry → { l3out, epg, scope-valid subnets[], excluded (route-control-only) subnets[], default-route flags (v4/v6) }</w:t>
      </w:r>
    </w:p>
    <w:p>
      <w:pPr>
        <w:pStyle w:val="ListParagraph"/>
        <w:numPr>
          <w:ilvl w:val="0"/>
          <w:numId w:val="2"/>
        </w:numPr>
        <w:spacing w:after="80" w:line="268"/>
      </w:pPr>
      <w:r>
        <w:rPr>
          <w:color w:val="202A36"/>
          <w:sz w:val="21"/>
          <w:szCs w:val="21"/>
        </w:rPr>
        <w:t xml:space="preserve">Node → { node id, device group, leaf/path, layer (L1/L3), consumer/provider BD/VRF/VLAN, redirect policy name(s), redirect destinations (L3: ip/learned-MAC/active; L1: interface reference), threshold config }</w:t>
      </w:r>
    </w:p>
    <w:p>
      <w:pPr>
        <w:pStyle w:val="ListParagraph"/>
        <w:numPr>
          <w:ilvl w:val="0"/>
          <w:numId w:val="2"/>
        </w:numPr>
        <w:spacing w:after="80" w:line="268"/>
      </w:pPr>
      <w:r>
        <w:rPr>
          <w:color w:val="202A36"/>
          <w:sz w:val="21"/>
          <w:szCs w:val="21"/>
        </w:rPr>
        <w:t xml:space="preserve">Threshold → { enable, min%, max%, downAction, computed active%, breached (bool, L3 only) }</w:t>
      </w:r>
    </w:p>
    <w:p>
      <w:pPr>
        <w:pStyle w:val="Heading3"/>
        <w:spacing w:after="100" w:before="200"/>
      </w:pPr>
      <w:r>
        <w:t xml:space="preserve">7.3.3 Subnet Validity Rule</w:t>
      </w:r>
    </w:p>
    <w:p>
      <w:pPr>
        <w:spacing w:after="160" w:line="276"/>
      </w:pPr>
      <w:r>
        <w:rPr>
          <w:b w:val="false"/>
          <w:bCs w:val="false"/>
          <w:i w:val="false"/>
          <w:iCs w:val="false"/>
          <w:color w:val="202A36"/>
          <w:sz w:val="21"/>
          <w:szCs w:val="21"/>
        </w:rPr>
        <w:t xml:space="preserve">Only l3extSubnet entries whose scope attribute contains import-security are used for IP-flow classification matching. Entries without it (e.g. export-rtctrl only) are retained in the model as “excluded” and shown to the user for transparency when relevant, but never used to resolve a flow — this mirrors exactly how ACI itself treats the “External Subnets for the External EPG” checkbox.</w:t>
      </w:r>
    </w:p>
    <w:p>
      <w:r>
        <w:br w:type="page"/>
      </w:r>
    </w:p>
    <w:p>
      <w:pPr>
        <w:pStyle w:val="Heading1"/>
        <w:spacing w:after="160" w:before="360"/>
      </w:pPr>
      <w:r>
        <w:t xml:space="preserve">8. Proposed API Surface (Illustrative)</w:t>
      </w:r>
    </w:p>
    <w:p>
      <w:pPr>
        <w:spacing w:after="160" w:line="276"/>
      </w:pPr>
      <w:r>
        <w:rPr>
          <w:b w:val="false"/>
          <w:bCs w:val="false"/>
          <w:i w:val="false"/>
          <w:iCs w:val="false"/>
          <w:color w:val="202A36"/>
          <w:sz w:val="21"/>
          <w:szCs w:val="21"/>
        </w:rPr>
        <w:t xml:space="preserve">Endpoint names and shapes below are illustrative starting points for the NetverseAI backend team to refine against existing platform conventions, not a final contract.</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4200"/>
        <w:gridCol w:w="5150"/>
      </w:tblGrid>
      <w:tr>
        <w:trPr>
          <w:tblHeader/>
        </w:trPr>
        <w:tc>
          <w:tcPr>
            <w:tcW w:type="dxa" w:w="4200"/>
            <w:shd w:fill="1A2634" w:val="clear"/>
            <w:tcMar>
              <w:top w:type="dxa" w:w="100"/>
              <w:left w:type="dxa" w:w="120"/>
              <w:bottom w:type="dxa" w:w="100"/>
              <w:right w:type="dxa" w:w="120"/>
            </w:tcMar>
          </w:tcPr>
          <w:p>
            <w:r>
              <w:rPr>
                <w:b/>
                <w:bCs/>
                <w:color w:val="FFFFFF"/>
                <w:sz w:val="19"/>
                <w:szCs w:val="19"/>
              </w:rPr>
              <w:t xml:space="preserve">Method &amp; Path</w:t>
            </w:r>
          </w:p>
        </w:tc>
        <w:tc>
          <w:tcPr>
            <w:tcW w:type="dxa" w:w="5150"/>
            <w:shd w:fill="1A2634" w:val="clear"/>
            <w:tcMar>
              <w:top w:type="dxa" w:w="100"/>
              <w:left w:type="dxa" w:w="120"/>
              <w:bottom w:type="dxa" w:w="100"/>
              <w:right w:type="dxa" w:w="120"/>
            </w:tcMar>
          </w:tcPr>
          <w:p>
            <w:r>
              <w:rPr>
                <w:b/>
                <w:bCs/>
                <w:color w:val="FFFFFF"/>
                <w:sz w:val="19"/>
                <w:szCs w:val="19"/>
              </w:rPr>
              <w:t xml:space="preserve">Purpose</w:t>
            </w:r>
          </w:p>
        </w:tc>
      </w:tr>
      <w:tr>
        <w:tc>
          <w:tcPr>
            <w:tcW w:type="dxa" w:w="4200"/>
            <w:tcMar>
              <w:top w:type="dxa" w:w="100"/>
              <w:left w:type="dxa" w:w="120"/>
              <w:bottom w:type="dxa" w:w="100"/>
              <w:right w:type="dxa" w:w="120"/>
            </w:tcMar>
          </w:tcPr>
          <w:p>
            <w:r>
              <w:rPr>
                <w:b w:val="false"/>
                <w:bCs w:val="false"/>
                <w:color w:val="202A36"/>
                <w:sz w:val="19"/>
                <w:szCs w:val="19"/>
              </w:rPr>
              <w:t xml:space="preserve">GET /api/pbr/fabrics</w:t>
            </w:r>
          </w:p>
        </w:tc>
        <w:tc>
          <w:tcPr>
            <w:tcW w:type="dxa" w:w="5150"/>
            <w:tcMar>
              <w:top w:type="dxa" w:w="100"/>
              <w:left w:type="dxa" w:w="120"/>
              <w:bottom w:type="dxa" w:w="100"/>
              <w:right w:type="dxa" w:w="120"/>
            </w:tcMar>
          </w:tcPr>
          <w:p>
            <w:r>
              <w:rPr>
                <w:b w:val="false"/>
                <w:bCs w:val="false"/>
                <w:color w:val="202A36"/>
                <w:sz w:val="19"/>
                <w:szCs w:val="19"/>
              </w:rPr>
              <w:t xml:space="preserve">List fabrics with summary health counts.</w:t>
            </w:r>
          </w:p>
        </w:tc>
      </w:tr>
      <w:tr>
        <w:tc>
          <w:tcPr>
            <w:tcW w:type="dxa" w:w="4200"/>
            <w:tcMar>
              <w:top w:type="dxa" w:w="100"/>
              <w:left w:type="dxa" w:w="120"/>
              <w:bottom w:type="dxa" w:w="100"/>
              <w:right w:type="dxa" w:w="120"/>
            </w:tcMar>
          </w:tcPr>
          <w:p>
            <w:r>
              <w:rPr>
                <w:b w:val="false"/>
                <w:bCs w:val="false"/>
                <w:color w:val="202A36"/>
                <w:sz w:val="19"/>
                <w:szCs w:val="19"/>
              </w:rPr>
              <w:t xml:space="preserve">GET /api/pbr/fabrics/{fabric}/services</w:t>
            </w:r>
          </w:p>
        </w:tc>
        <w:tc>
          <w:tcPr>
            <w:tcW w:type="dxa" w:w="5150"/>
            <w:tcMar>
              <w:top w:type="dxa" w:w="100"/>
              <w:left w:type="dxa" w:w="120"/>
              <w:bottom w:type="dxa" w:w="100"/>
              <w:right w:type="dxa" w:w="120"/>
            </w:tcMar>
          </w:tcPr>
          <w:p>
            <w:r>
              <w:rPr>
                <w:b w:val="false"/>
                <w:bCs w:val="false"/>
                <w:color w:val="202A36"/>
                <w:sz w:val="19"/>
                <w:szCs w:val="19"/>
              </w:rPr>
              <w:t xml:space="preserve">List services for a fabric (supports search/sort/status-filter query params).</w:t>
            </w:r>
          </w:p>
        </w:tc>
      </w:tr>
      <w:tr>
        <w:tc>
          <w:tcPr>
            <w:tcW w:type="dxa" w:w="4200"/>
            <w:tcMar>
              <w:top w:type="dxa" w:w="100"/>
              <w:left w:type="dxa" w:w="120"/>
              <w:bottom w:type="dxa" w:w="100"/>
              <w:right w:type="dxa" w:w="120"/>
            </w:tcMar>
          </w:tcPr>
          <w:p>
            <w:r>
              <w:rPr>
                <w:b w:val="false"/>
                <w:bCs w:val="false"/>
                <w:color w:val="202A36"/>
                <w:sz w:val="19"/>
                <w:szCs w:val="19"/>
              </w:rPr>
              <w:t xml:space="preserve">GET /api/pbr/fabrics/{fabric}/services/{contract}/{graph}</w:t>
            </w:r>
          </w:p>
        </w:tc>
        <w:tc>
          <w:tcPr>
            <w:tcW w:type="dxa" w:w="5150"/>
            <w:tcMar>
              <w:top w:type="dxa" w:w="100"/>
              <w:left w:type="dxa" w:w="120"/>
              <w:bottom w:type="dxa" w:w="100"/>
              <w:right w:type="dxa" w:w="120"/>
            </w:tcMar>
          </w:tcPr>
          <w:p>
            <w:r>
              <w:rPr>
                <w:b w:val="false"/>
                <w:bCs w:val="false"/>
                <w:color w:val="202A36"/>
                <w:sz w:val="19"/>
                <w:szCs w:val="19"/>
              </w:rPr>
              <w:t xml:space="preserve">Full service detail: EPGs, nodes, health breakdown, threshold state.</w:t>
            </w:r>
          </w:p>
        </w:tc>
      </w:tr>
      <w:tr>
        <w:tc>
          <w:tcPr>
            <w:tcW w:type="dxa" w:w="4200"/>
            <w:tcMar>
              <w:top w:type="dxa" w:w="100"/>
              <w:left w:type="dxa" w:w="120"/>
              <w:bottom w:type="dxa" w:w="100"/>
              <w:right w:type="dxa" w:w="120"/>
            </w:tcMar>
          </w:tcPr>
          <w:p>
            <w:r>
              <w:rPr>
                <w:b w:val="false"/>
                <w:bCs w:val="false"/>
                <w:color w:val="202A36"/>
                <w:sz w:val="19"/>
                <w:szCs w:val="19"/>
              </w:rPr>
              <w:t xml:space="preserve">GET /api/pbr/fabrics/{fabric}/services/{contract}/{graph}/blast-radius</w:t>
            </w:r>
          </w:p>
        </w:tc>
        <w:tc>
          <w:tcPr>
            <w:tcW w:type="dxa" w:w="5150"/>
            <w:tcMar>
              <w:top w:type="dxa" w:w="100"/>
              <w:left w:type="dxa" w:w="120"/>
              <w:bottom w:type="dxa" w:w="100"/>
              <w:right w:type="dxa" w:w="120"/>
            </w:tcMar>
          </w:tcPr>
          <w:p>
            <w:r>
              <w:rPr>
                <w:b w:val="false"/>
                <w:bCs w:val="false"/>
                <w:color w:val="202A36"/>
                <w:sz w:val="19"/>
                <w:szCs w:val="19"/>
              </w:rPr>
              <w:t xml:space="preserve">Other services sharing a device group with this one.</w:t>
            </w:r>
          </w:p>
        </w:tc>
      </w:tr>
      <w:tr>
        <w:tc>
          <w:tcPr>
            <w:tcW w:type="dxa" w:w="4200"/>
            <w:tcMar>
              <w:top w:type="dxa" w:w="100"/>
              <w:left w:type="dxa" w:w="120"/>
              <w:bottom w:type="dxa" w:w="100"/>
              <w:right w:type="dxa" w:w="120"/>
            </w:tcMar>
          </w:tcPr>
          <w:p>
            <w:r>
              <w:rPr>
                <w:b w:val="false"/>
                <w:bCs w:val="false"/>
                <w:color w:val="202A36"/>
                <w:sz w:val="19"/>
                <w:szCs w:val="19"/>
              </w:rPr>
              <w:t xml:space="preserve">GET /api/pbr/fabrics/{fabric}/services/{contract}/{graph}/history</w:t>
            </w:r>
          </w:p>
        </w:tc>
        <w:tc>
          <w:tcPr>
            <w:tcW w:type="dxa" w:w="5150"/>
            <w:tcMar>
              <w:top w:type="dxa" w:w="100"/>
              <w:left w:type="dxa" w:w="120"/>
              <w:bottom w:type="dxa" w:w="100"/>
              <w:right w:type="dxa" w:w="120"/>
            </w:tcMar>
          </w:tcPr>
          <w:p>
            <w:r>
              <w:rPr>
                <w:b w:val="false"/>
                <w:bCs w:val="false"/>
                <w:color w:val="202A36"/>
                <w:sz w:val="19"/>
                <w:szCs w:val="19"/>
              </w:rPr>
              <w:t xml:space="preserve">Health trend history (replaces client-side localStorage).</w:t>
            </w:r>
          </w:p>
        </w:tc>
      </w:tr>
      <w:tr>
        <w:tc>
          <w:tcPr>
            <w:tcW w:type="dxa" w:w="4200"/>
            <w:tcMar>
              <w:top w:type="dxa" w:w="100"/>
              <w:left w:type="dxa" w:w="120"/>
              <w:bottom w:type="dxa" w:w="100"/>
              <w:right w:type="dxa" w:w="120"/>
            </w:tcMar>
          </w:tcPr>
          <w:p>
            <w:r>
              <w:rPr>
                <w:b w:val="false"/>
                <w:bCs w:val="false"/>
                <w:color w:val="202A36"/>
                <w:sz w:val="19"/>
                <w:szCs w:val="19"/>
              </w:rPr>
              <w:t xml:space="preserve">POST /api/pbr/flow-lookup</w:t>
            </w:r>
          </w:p>
        </w:tc>
        <w:tc>
          <w:tcPr>
            <w:tcW w:type="dxa" w:w="5150"/>
            <w:tcMar>
              <w:top w:type="dxa" w:w="100"/>
              <w:left w:type="dxa" w:w="120"/>
              <w:bottom w:type="dxa" w:w="100"/>
              <w:right w:type="dxa" w:w="120"/>
            </w:tcMar>
          </w:tcPr>
          <w:p>
            <w:r>
              <w:rPr>
                <w:b w:val="false"/>
                <w:bCs w:val="false"/>
                <w:color w:val="202A36"/>
                <w:sz w:val="19"/>
                <w:szCs w:val="19"/>
              </w:rPr>
              <w:t xml:space="preserve">Body: { sourceIp, destIp }. Returns matched service (or explicit no-match) with match basis (specific subnet / default-route / tie).</w:t>
            </w:r>
          </w:p>
        </w:tc>
      </w:tr>
    </w:tbl>
    <w:p>
      <w:pPr>
        <w:pStyle w:val="Heading1"/>
        <w:spacing w:after="160" w:before="360"/>
      </w:pPr>
      <w:r>
        <w:t xml:space="preserve">9. Known Limitations &amp; Lessons From Prototyping</w:t>
      </w:r>
    </w:p>
    <w:p>
      <w:pPr>
        <w:spacing w:after="160" w:line="276"/>
      </w:pPr>
      <w:r>
        <w:rPr>
          <w:b w:val="false"/>
          <w:bCs w:val="false"/>
          <w:i w:val="false"/>
          <w:iCs w:val="false"/>
          <w:color w:val="202A36"/>
          <w:sz w:val="21"/>
          <w:szCs w:val="21"/>
        </w:rPr>
        <w:t xml:space="preserve">These are concrete findings from building and validating the prototype against live data — included deliberately so the production implementation doesn't have to rediscover them.</w:t>
      </w:r>
    </w:p>
    <w:p>
      <w:pPr>
        <w:pStyle w:val="Heading2"/>
        <w:spacing w:after="120" w:before="280"/>
      </w:pPr>
      <w:r>
        <w:t xml:space="preserve">9.1 L1 Interface Real-Time State Is Not Reliable in This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860B" w:sz="6"/>
              <w:left w:val="single" w:color="B8860B" w:sz="6"/>
              <w:bottom w:val="single" w:color="B8860B" w:sz="6"/>
              <w:right w:val="single" w:color="B8860B" w:sz="6"/>
            </w:tcBorders>
            <w:shd w:fill="FFF7E6" w:val="clear"/>
            <w:tcMar>
              <w:top w:type="dxa" w:w="140"/>
              <w:left w:type="dxa" w:w="180"/>
              <w:bottom w:type="dxa" w:w="140"/>
              <w:right w:type="dxa" w:w="180"/>
            </w:tcMar>
          </w:tcPr>
          <w:p>
            <w:pPr>
              <w:spacing w:after="80"/>
            </w:pPr>
            <w:r>
              <w:rPr>
                <w:b/>
                <w:bCs/>
                <w:color w:val="202A36"/>
                <w:sz w:val="20"/>
                <w:szCs w:val="20"/>
              </w:rPr>
              <w:t xml:space="preserve">Finding:</w:t>
            </w:r>
          </w:p>
          <w:p>
            <w:pPr>
              <w:spacing w:after="80"/>
            </w:pPr>
            <w:r>
              <w:rPr>
                <w:b w:val="false"/>
                <w:bCs w:val="false"/>
                <w:color w:val="202A36"/>
                <w:sz w:val="20"/>
                <w:szCs w:val="20"/>
              </w:rPr>
              <w:t xml:space="preserve">vnsCIf.operSt was checked against all interfaces fabric-wide (88 objects) and returned “down” uniformly — including for device groups independently confirmed to be actively passing traffic via fvIp elsewhere. This is not a real physical signal in the current environment; treating it as one would produce a false “everything is down” reading.</w:t>
            </w:r>
          </w:p>
          <w:p>
            <w:pPr>
              <w:spacing w:after="80"/>
            </w:pPr>
            <w:r>
              <w:rPr>
                <w:b w:val="false"/>
                <w:bCs w:val="false"/>
                <w:color w:val="202A36"/>
                <w:sz w:val="20"/>
                <w:szCs w:val="20"/>
              </w:rPr>
              <w:t xml:space="preserve">Design decision: L1 node health and threshold breach are never computed from operSt. L1 health instead reflects whether the redirect interface reference itself resolves (configuration completeness), and threshold config is shown as informational only for L1, with no computed breach state.</w:t>
            </w:r>
          </w:p>
          <w:p>
            <w:pPr>
              <w:spacing w:after="0"/>
            </w:pPr>
            <w:r>
              <w:rPr>
                <w:b w:val="false"/>
                <w:bCs w:val="false"/>
                <w:color w:val="202A36"/>
                <w:sz w:val="20"/>
                <w:szCs w:val="20"/>
              </w:rPr>
              <w:t xml:space="preserve">Recommendation for production: before relying on any interface operational-state class for L1 PBR health, validate it the same way — cross-check against a device known to be passing real traffic — rather than assuming the API surface is trustworthy.</w:t>
            </w:r>
          </w:p>
        </w:tc>
      </w:tr>
    </w:tbl>
    <w:p>
      <w:pPr>
        <w:spacing w:after="120"/>
      </w:pPr>
    </w:p>
    <w:p>
      <w:pPr>
        <w:pStyle w:val="Heading2"/>
        <w:spacing w:after="120" w:before="280"/>
      </w:pPr>
      <w:r>
        <w:t xml:space="preserve">9.2 fvRsProv / fvRsCons Must Be Fetched Completely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860B" w:sz="6"/>
              <w:left w:val="single" w:color="B8860B" w:sz="6"/>
              <w:bottom w:val="single" w:color="B8860B" w:sz="6"/>
              <w:right w:val="single" w:color="B8860B" w:sz="6"/>
            </w:tcBorders>
            <w:shd w:fill="FFF7E6" w:val="clear"/>
            <w:tcMar>
              <w:top w:type="dxa" w:w="140"/>
              <w:left w:type="dxa" w:w="180"/>
              <w:bottom w:type="dxa" w:w="140"/>
              <w:right w:type="dxa" w:w="180"/>
            </w:tcMar>
          </w:tcPr>
          <w:p>
            <w:pPr>
              <w:spacing w:after="80"/>
            </w:pPr>
            <w:r>
              <w:rPr>
                <w:b/>
                <w:bCs/>
                <w:color w:val="202A36"/>
                <w:sz w:val="20"/>
                <w:szCs w:val="20"/>
              </w:rPr>
              <w:t xml:space="preserve">Finding:</w:t>
            </w:r>
          </w:p>
          <w:p>
            <w:pPr>
              <w:spacing w:after="80"/>
            </w:pPr>
            <w:r>
              <w:rPr>
                <w:b w:val="false"/>
                <w:bCs w:val="false"/>
                <w:color w:val="202A36"/>
                <w:sz w:val="20"/>
                <w:szCs w:val="20"/>
              </w:rPr>
              <w:t xml:space="preserve">An early build step manually transcribed a large fvRsProv/fvRsCons API response and silently captured only 62 of 77 and 55 of 94 objects respectively — a transcription/truncation error, not an API limitation. This caused a real subnet-to-contract mapping to miss one of three EPGs sharing a subnet, which a user caught by independently cross-checking with moquery.</w:t>
            </w:r>
          </w:p>
          <w:p>
            <w:pPr>
              <w:spacing w:after="0"/>
            </w:pPr>
            <w:r>
              <w:rPr>
                <w:b w:val="false"/>
                <w:bCs w:val="false"/>
                <w:color w:val="202A36"/>
                <w:sz w:val="20"/>
                <w:szCs w:val="20"/>
              </w:rPr>
              <w:t xml:space="preserve">Design decision / recommendation: production ingestion must fetch and persist these classes programmatically (not via manual copy) and verify object counts against the API's reported total before use. Any manual/ad-hoc data entry step in the pipeline is a defect waiting to happen.</w:t>
            </w:r>
          </w:p>
        </w:tc>
      </w:tr>
    </w:tbl>
    <w:p>
      <w:pPr>
        <w:spacing w:after="120"/>
      </w:pPr>
    </w:p>
    <w:p>
      <w:pPr>
        <w:pStyle w:val="Heading2"/>
        <w:spacing w:after="120" w:before="280"/>
      </w:pPr>
      <w:r>
        <w:t xml:space="preserve">9.3 Threshold Down Action: bypass ≠ permit ≠ deny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0392B" w:sz="6"/>
              <w:left w:val="single" w:color="C0392B" w:sz="6"/>
              <w:bottom w:val="single" w:color="C0392B" w:sz="6"/>
              <w:right w:val="single" w:color="C0392B" w:sz="6"/>
            </w:tcBorders>
            <w:shd w:fill="FDEEEE" w:val="clear"/>
            <w:tcMar>
              <w:top w:type="dxa" w:w="140"/>
              <w:left w:type="dxa" w:w="180"/>
              <w:bottom w:type="dxa" w:w="140"/>
              <w:right w:type="dxa" w:w="180"/>
            </w:tcMar>
          </w:tcPr>
          <w:p>
            <w:pPr>
              <w:spacing w:after="80"/>
            </w:pPr>
            <w:r>
              <w:rPr>
                <w:b/>
                <w:bCs/>
                <w:color w:val="202A36"/>
                <w:sz w:val="20"/>
                <w:szCs w:val="20"/>
              </w:rPr>
              <w:t xml:space="preserve">Finding:</w:t>
            </w:r>
          </w:p>
          <w:p>
            <w:pPr>
              <w:spacing w:after="80"/>
            </w:pPr>
            <w:r>
              <w:rPr>
                <w:b w:val="false"/>
                <w:bCs w:val="false"/>
                <w:color w:val="202A36"/>
                <w:sz w:val="20"/>
                <w:szCs w:val="20"/>
              </w:rPr>
              <w:t xml:space="preserve">An initial implementation treated any threshold breach (regardless of Down Action) as a graceful “traffic bypasses this node” state. This incorrectly inflated one node's health to 100% when its actual Down Action was permit, not bypass — masking a real 0%-active condition.</w:t>
            </w:r>
          </w:p>
          <w:p>
            <w:pPr>
              <w:spacing w:after="0"/>
            </w:pPr>
            <w:r>
              <w:rPr>
                <w:b w:val="false"/>
                <w:bCs w:val="false"/>
                <w:color w:val="202A36"/>
                <w:sz w:val="20"/>
                <w:szCs w:val="20"/>
              </w:rPr>
              <w:t xml:space="preserve">Design decision: the “node is gracefully bypassed, don't penalize health” treatment applies only when Down Action is literally bypass. permit is shown as a distinct, informational-only breached state; deny is treated as a genuine outage (traffic dropped). Production implementation must preserve this three-way distinction exactly — collapsing it back to a binary bypassed/not-bypassed reintroduces the bug.</w:t>
            </w:r>
          </w:p>
        </w:tc>
      </w:tr>
    </w:tbl>
    <w:p>
      <w:pPr>
        <w:spacing w:after="120"/>
      </w:pPr>
    </w:p>
    <w:p>
      <w:pPr>
        <w:pStyle w:val="Heading2"/>
        <w:spacing w:after="120" w:before="280"/>
      </w:pPr>
      <w:r>
        <w:t xml:space="preserve">9.4 Some PBR Contracts Have No External-EPG Binding At All</w:t>
      </w:r>
    </w:p>
    <w:p>
      <w:pPr>
        <w:spacing w:after="160" w:line="276"/>
      </w:pPr>
      <w:r>
        <w:rPr>
          <w:b w:val="false"/>
          <w:bCs w:val="false"/>
          <w:i w:val="false"/>
          <w:iCs w:val="false"/>
          <w:color w:val="202A36"/>
          <w:sz w:val="21"/>
          <w:szCs w:val="21"/>
        </w:rPr>
        <w:t xml:space="preserve">A handful of tracked contracts per fabric (e.g. one in Mumbai, three in Jamnagar) are bound only to internal Application EPGs, not any L3Out external EPG. These will never participate in IP-flow matching or blast-radius-by-L3Out (blast radius is device-group-based only, per user direction, so this affects flow-matching coverage specifically, not blast radius). This is a property of those contracts' actual configuration, not a gap in the tool, and should be documented as expected behavior rather than “fixed.”</w:t>
      </w:r>
    </w:p>
    <w:p>
      <w:pPr>
        <w:pStyle w:val="Heading2"/>
        <w:spacing w:after="120" w:before="280"/>
      </w:pPr>
      <w:r>
        <w:t xml:space="preserve">9.5 Trend History Is Currently Client-Side Only</w:t>
      </w:r>
    </w:p>
    <w:p>
      <w:pPr>
        <w:spacing w:after="160" w:line="276"/>
      </w:pPr>
      <w:r>
        <w:rPr>
          <w:b w:val="false"/>
          <w:bCs w:val="false"/>
          <w:i w:val="false"/>
          <w:iCs w:val="false"/>
          <w:color w:val="202A36"/>
          <w:sz w:val="21"/>
          <w:szCs w:val="21"/>
        </w:rPr>
        <w:t xml:space="preserve">The prototype's health-trend history lives in browser localStorage, capped at the last 10 observations, and only accumulates across separate page loads on the same browser/device. Production must replace this with the PBR Time-Series Store (§ 6.1) so history is durable, shared across users, and not lost on a cache clear.</w:t>
      </w:r>
    </w:p>
    <w:p>
      <w:r>
        <w:br w:type="page"/>
      </w:r>
    </w:p>
    <w:p>
      <w:pPr>
        <w:pStyle w:val="Heading1"/>
        <w:spacing w:after="160" w:before="360"/>
      </w:pPr>
      <w:r>
        <w:t xml:space="preserve">10. Non-Functional Requirements</w:t>
      </w:r>
    </w:p>
    <w:p>
      <w:pPr>
        <w:pStyle w:val="Heading2"/>
        <w:spacing w:after="120" w:before="280"/>
      </w:pPr>
      <w:r>
        <w:t xml:space="preserve">10.1 Performance</w:t>
      </w:r>
    </w:p>
    <w:p>
      <w:pPr>
        <w:pStyle w:val="ListParagraph"/>
        <w:numPr>
          <w:ilvl w:val="0"/>
          <w:numId w:val="2"/>
        </w:numPr>
        <w:spacing w:after="80" w:line="268"/>
      </w:pPr>
      <w:r>
        <w:rPr>
          <w:color w:val="202A36"/>
          <w:sz w:val="21"/>
          <w:szCs w:val="21"/>
        </w:rPr>
        <w:t xml:space="preserve">Fabric dashboard should render from cached/computed state, not trigger a live APIC call per page view.</w:t>
      </w:r>
    </w:p>
    <w:p>
      <w:pPr>
        <w:pStyle w:val="ListParagraph"/>
        <w:numPr>
          <w:ilvl w:val="0"/>
          <w:numId w:val="2"/>
        </w:numPr>
        <w:spacing w:after="80" w:line="268"/>
      </w:pPr>
      <w:r>
        <w:rPr>
          <w:color w:val="202A36"/>
          <w:sz w:val="21"/>
          <w:szCs w:val="21"/>
        </w:rPr>
        <w:t xml:space="preserve">Full-subtree structural fetches (vnsLDevCtx, l3extSubnet, fvRsProv/fvRsCons) are the most expensive calls observed during prototyping (hundreds of objects per fabric) — these belong on the slow polling cadence (§ 7.2), not per-request.</w:t>
      </w:r>
    </w:p>
    <w:p>
      <w:pPr>
        <w:pStyle w:val="Heading2"/>
        <w:spacing w:after="120" w:before="280"/>
      </w:pPr>
      <w:r>
        <w:t xml:space="preserve">10.2 Security</w:t>
      </w:r>
    </w:p>
    <w:p>
      <w:pPr>
        <w:pStyle w:val="ListParagraph"/>
        <w:numPr>
          <w:ilvl w:val="0"/>
          <w:numId w:val="2"/>
        </w:numPr>
        <w:spacing w:after="80" w:line="268"/>
      </w:pPr>
      <w:r>
        <w:rPr>
          <w:color w:val="202A36"/>
          <w:sz w:val="21"/>
          <w:szCs w:val="21"/>
        </w:rPr>
        <w:t xml:space="preserve">Read-only against APIC; no write/config-push capability in this feature.</w:t>
      </w:r>
    </w:p>
    <w:p>
      <w:pPr>
        <w:pStyle w:val="ListParagraph"/>
        <w:numPr>
          <w:ilvl w:val="0"/>
          <w:numId w:val="2"/>
        </w:numPr>
        <w:spacing w:after="80" w:line="268"/>
      </w:pPr>
      <w:r>
        <w:rPr>
          <w:color w:val="202A36"/>
          <w:sz w:val="21"/>
          <w:szCs w:val="21"/>
        </w:rPr>
        <w:t xml:space="preserve">Inherit NetverseAI's existing authentication and RBAC; no separate credential handling in the frontend.</w:t>
      </w:r>
    </w:p>
    <w:p>
      <w:pPr>
        <w:pStyle w:val="ListParagraph"/>
        <w:numPr>
          <w:ilvl w:val="0"/>
          <w:numId w:val="2"/>
        </w:numPr>
        <w:spacing w:after="80" w:line="268"/>
      </w:pPr>
      <w:r>
        <w:rPr>
          <w:color w:val="202A36"/>
          <w:sz w:val="21"/>
          <w:szCs w:val="21"/>
        </w:rPr>
        <w:t xml:space="preserve">IP-flow lookup input must be validated server-side as well as client-side (the prototype's IPv4/IPv6/CIDR/address-family validation logic should not be trusted as the only line of defense once it's a shared multi-user service).</w:t>
      </w:r>
    </w:p>
    <w:p>
      <w:pPr>
        <w:pStyle w:val="Heading2"/>
        <w:spacing w:after="120" w:before="280"/>
      </w:pPr>
      <w:r>
        <w:t xml:space="preserve">10.3 Scalability</w:t>
      </w:r>
    </w:p>
    <w:p>
      <w:pPr>
        <w:pStyle w:val="ListParagraph"/>
        <w:numPr>
          <w:ilvl w:val="0"/>
          <w:numId w:val="2"/>
        </w:numPr>
        <w:spacing w:after="80" w:line="268"/>
      </w:pPr>
      <w:r>
        <w:rPr>
          <w:color w:val="202A36"/>
          <w:sz w:val="21"/>
          <w:szCs w:val="21"/>
        </w:rPr>
        <w:t xml:space="preserve">Design should not hard-code the current 3–4 fabrics; onboarding a new fabric should be a configuration addition to the ingestion service, not a code change.</w:t>
      </w:r>
    </w:p>
    <w:p>
      <w:pPr>
        <w:pStyle w:val="ListParagraph"/>
        <w:numPr>
          <w:ilvl w:val="0"/>
          <w:numId w:val="2"/>
        </w:numPr>
        <w:spacing w:after="80" w:line="268"/>
      </w:pPr>
      <w:r>
        <w:rPr>
          <w:color w:val="202A36"/>
          <w:sz w:val="21"/>
          <w:szCs w:val="21"/>
        </w:rPr>
        <w:t xml:space="preserve">Per-fabric object counts observed during prototyping (tens of services, hundreds of subnets, tens of redirect policies) suggest this is comfortably within normal web-app scale; the main scaling risk is APIC polling load as fabric count grows, not the NetverseAI-side computation.</w:t>
      </w:r>
    </w:p>
    <w:p>
      <w:pPr>
        <w:pStyle w:val="Heading2"/>
        <w:spacing w:after="120" w:before="280"/>
      </w:pPr>
      <w:r>
        <w:t xml:space="preserve">10.4 Availability / Graceful Degradation</w:t>
      </w:r>
    </w:p>
    <w:p>
      <w:pPr>
        <w:pStyle w:val="ListParagraph"/>
        <w:numPr>
          <w:ilvl w:val="0"/>
          <w:numId w:val="2"/>
        </w:numPr>
        <w:spacing w:after="80" w:line="268"/>
      </w:pPr>
      <w:r>
        <w:rPr>
          <w:color w:val="202A36"/>
          <w:sz w:val="21"/>
          <w:szCs w:val="21"/>
        </w:rPr>
        <w:t xml:space="preserve">If a fabric's APIC is unreachable during a poll, the dashboard should show the last-known state with a clear “stale as of …” indicator, not blank out or error the whole page.</w:t>
      </w:r>
    </w:p>
    <w:p>
      <w:pPr>
        <w:pStyle w:val="Heading1"/>
        <w:spacing w:after="160" w:before="360"/>
      </w:pPr>
      <w:r>
        <w:t xml:space="preserve">11. Testing &amp; Validation Strategy</w:t>
      </w:r>
    </w:p>
    <w:p>
      <w:pPr>
        <w:spacing w:after="160" w:line="276"/>
      </w:pPr>
      <w:r>
        <w:rPr>
          <w:b w:val="false"/>
          <w:bCs w:val="false"/>
          <w:i w:val="false"/>
          <w:iCs w:val="false"/>
          <w:color w:val="202A36"/>
          <w:sz w:val="21"/>
          <w:szCs w:val="21"/>
        </w:rPr>
        <w:t xml:space="preserve">The prototype was validated throughout its build by extracting its computation logic and running it directly under Node.js against the full real dataset embedded from all fabrics — checking for thrown exceptions across every service in every fabric, and asserting specific expected outcomes for known edge cases (e.g. the exact overlapping-subnet tie, the exact threshold-breach nodes, SVG id-collision across multiple simultaneously-rendered diagrams). This caught several real defects before they reached the user, including the fvRsCons truncation (§ 9.2) and the bypass/permit conflation (§ 9.3).</w:t>
      </w:r>
    </w:p>
    <w:p>
      <w:pPr>
        <w:spacing w:after="160" w:line="276"/>
      </w:pPr>
      <w:r>
        <w:rPr>
          <w:b w:val="false"/>
          <w:bCs w:val="false"/>
          <w:i w:val="false"/>
          <w:iCs w:val="false"/>
          <w:color w:val="202A36"/>
          <w:sz w:val="21"/>
          <w:szCs w:val="21"/>
        </w:rPr>
        <w:t xml:space="preserve">Recommended production equivalent:</w:t>
      </w:r>
    </w:p>
    <w:p>
      <w:pPr>
        <w:pStyle w:val="ListParagraph"/>
        <w:numPr>
          <w:ilvl w:val="0"/>
          <w:numId w:val="3"/>
        </w:numPr>
        <w:spacing w:after="80" w:line="268"/>
      </w:pPr>
      <w:r>
        <w:rPr>
          <w:color w:val="202A36"/>
          <w:sz w:val="21"/>
          <w:szCs w:val="21"/>
        </w:rPr>
        <w:t xml:space="preserve">Unit tests for the computation layer (health scoring, threshold/bypass evaluation, blast radius, IP-flow matcher) against fixture data covering every edge case found during prototyping, so they can't silently regress.</w:t>
      </w:r>
    </w:p>
    <w:p>
      <w:pPr>
        <w:pStyle w:val="ListParagraph"/>
        <w:numPr>
          <w:ilvl w:val="0"/>
          <w:numId w:val="3"/>
        </w:numPr>
        <w:spacing w:after="80" w:line="268"/>
      </w:pPr>
      <w:r>
        <w:rPr>
          <w:color w:val="202A36"/>
          <w:sz w:val="21"/>
          <w:szCs w:val="21"/>
        </w:rPr>
        <w:t xml:space="preserve">Integration tests against a non-production APIC (or recorded fixture responses) for the ingestion layer, specifically asserting complete object counts are fetched (guards against a repeat of § 9.2).</w:t>
      </w:r>
    </w:p>
    <w:p>
      <w:pPr>
        <w:pStyle w:val="ListParagraph"/>
        <w:numPr>
          <w:ilvl w:val="0"/>
          <w:numId w:val="3"/>
        </w:numPr>
        <w:spacing w:after="80" w:line="268"/>
      </w:pPr>
      <w:r>
        <w:rPr>
          <w:color w:val="202A36"/>
          <w:sz w:val="21"/>
          <w:szCs w:val="21"/>
        </w:rPr>
        <w:t xml:space="preserve">A periodic data-quality check comparing Deployed Graph Instance and Device Selection Policy counts per fabric, alerting if the intersection rate drops sharply (may indicate a real provisioning problem, not just expected drift).</w:t>
      </w:r>
    </w:p>
    <w:p>
      <w:pPr>
        <w:pStyle w:val="Heading1"/>
        <w:spacing w:after="160" w:before="360"/>
      </w:pPr>
      <w:r>
        <w:t xml:space="preserve">12. Rollout Plan</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1800"/>
        <w:gridCol w:w="7550"/>
      </w:tblGrid>
      <w:tr>
        <w:trPr>
          <w:tblHeader/>
        </w:trPr>
        <w:tc>
          <w:tcPr>
            <w:tcW w:type="dxa" w:w="1800"/>
            <w:shd w:fill="1A2634" w:val="clear"/>
            <w:tcMar>
              <w:top w:type="dxa" w:w="100"/>
              <w:left w:type="dxa" w:w="120"/>
              <w:bottom w:type="dxa" w:w="100"/>
              <w:right w:type="dxa" w:w="120"/>
            </w:tcMar>
          </w:tcPr>
          <w:p>
            <w:r>
              <w:rPr>
                <w:b/>
                <w:bCs/>
                <w:color w:val="FFFFFF"/>
                <w:sz w:val="19"/>
                <w:szCs w:val="19"/>
              </w:rPr>
              <w:t xml:space="preserve">Phase</w:t>
            </w:r>
          </w:p>
        </w:tc>
        <w:tc>
          <w:tcPr>
            <w:tcW w:type="dxa" w:w="7550"/>
            <w:shd w:fill="1A2634" w:val="clear"/>
            <w:tcMar>
              <w:top w:type="dxa" w:w="100"/>
              <w:left w:type="dxa" w:w="120"/>
              <w:bottom w:type="dxa" w:w="100"/>
              <w:right w:type="dxa" w:w="120"/>
            </w:tcMar>
          </w:tcPr>
          <w:p>
            <w:r>
              <w:rPr>
                <w:b/>
                <w:bCs/>
                <w:color w:val="FFFFFF"/>
                <w:sz w:val="19"/>
                <w:szCs w:val="19"/>
              </w:rPr>
              <w:t xml:space="preserve">Scope</w:t>
            </w:r>
          </w:p>
        </w:tc>
      </w:tr>
      <w:tr>
        <w:tc>
          <w:tcPr>
            <w:tcW w:type="dxa" w:w="1800"/>
            <w:tcMar>
              <w:top w:type="dxa" w:w="100"/>
              <w:left w:type="dxa" w:w="120"/>
              <w:bottom w:type="dxa" w:w="100"/>
              <w:right w:type="dxa" w:w="120"/>
            </w:tcMar>
          </w:tcPr>
          <w:p>
            <w:r>
              <w:rPr>
                <w:b w:val="false"/>
                <w:bCs w:val="false"/>
                <w:color w:val="202A36"/>
                <w:sz w:val="19"/>
                <w:szCs w:val="19"/>
              </w:rPr>
              <w:t xml:space="preserve">Phase 1</w:t>
            </w:r>
          </w:p>
        </w:tc>
        <w:tc>
          <w:tcPr>
            <w:tcW w:type="dxa" w:w="7550"/>
            <w:tcMar>
              <w:top w:type="dxa" w:w="100"/>
              <w:left w:type="dxa" w:w="120"/>
              <w:bottom w:type="dxa" w:w="100"/>
              <w:right w:type="dxa" w:w="120"/>
            </w:tcMar>
          </w:tcPr>
          <w:p>
            <w:r>
              <w:rPr>
                <w:b w:val="false"/>
                <w:bCs w:val="false"/>
                <w:color w:val="202A36"/>
                <w:sz w:val="19"/>
                <w:szCs w:val="19"/>
              </w:rPr>
              <w:t xml:space="preserve">Backend ingestion service + domain model + read API, pilot on the 3 already-validated fabrics (Bangalore, Mumbai, Jamnagar).</w:t>
            </w:r>
          </w:p>
        </w:tc>
      </w:tr>
      <w:tr>
        <w:tc>
          <w:tcPr>
            <w:tcW w:type="dxa" w:w="1800"/>
            <w:tcMar>
              <w:top w:type="dxa" w:w="100"/>
              <w:left w:type="dxa" w:w="120"/>
              <w:bottom w:type="dxa" w:w="100"/>
              <w:right w:type="dxa" w:w="120"/>
            </w:tcMar>
          </w:tcPr>
          <w:p>
            <w:r>
              <w:rPr>
                <w:b w:val="false"/>
                <w:bCs w:val="false"/>
                <w:color w:val="202A36"/>
                <w:sz w:val="19"/>
                <w:szCs w:val="19"/>
              </w:rPr>
              <w:t xml:space="preserve">Phase 2</w:t>
            </w:r>
          </w:p>
        </w:tc>
        <w:tc>
          <w:tcPr>
            <w:tcW w:type="dxa" w:w="7550"/>
            <w:tcMar>
              <w:top w:type="dxa" w:w="100"/>
              <w:left w:type="dxa" w:w="120"/>
              <w:bottom w:type="dxa" w:w="100"/>
              <w:right w:type="dxa" w:w="120"/>
            </w:tcMar>
          </w:tcPr>
          <w:p>
            <w:r>
              <w:rPr>
                <w:b w:val="false"/>
                <w:bCs w:val="false"/>
                <w:color w:val="202A36"/>
                <w:sz w:val="19"/>
                <w:szCs w:val="19"/>
              </w:rPr>
              <w:t xml:space="preserve">Frontend integration into NetverseAI shell: fabric dashboard + service browser, reusing existing NetverseAI navigation/auth.</w:t>
            </w:r>
          </w:p>
        </w:tc>
      </w:tr>
      <w:tr>
        <w:tc>
          <w:tcPr>
            <w:tcW w:type="dxa" w:w="1800"/>
            <w:tcMar>
              <w:top w:type="dxa" w:w="100"/>
              <w:left w:type="dxa" w:w="120"/>
              <w:bottom w:type="dxa" w:w="100"/>
              <w:right w:type="dxa" w:w="120"/>
            </w:tcMar>
          </w:tcPr>
          <w:p>
            <w:r>
              <w:rPr>
                <w:b w:val="false"/>
                <w:bCs w:val="false"/>
                <w:color w:val="202A36"/>
                <w:sz w:val="19"/>
                <w:szCs w:val="19"/>
              </w:rPr>
              <w:t xml:space="preserve">Phase 3</w:t>
            </w:r>
          </w:p>
        </w:tc>
        <w:tc>
          <w:tcPr>
            <w:tcW w:type="dxa" w:w="7550"/>
            <w:tcMar>
              <w:top w:type="dxa" w:w="100"/>
              <w:left w:type="dxa" w:w="120"/>
              <w:bottom w:type="dxa" w:w="100"/>
              <w:right w:type="dxa" w:w="120"/>
            </w:tcMar>
          </w:tcPr>
          <w:p>
            <w:r>
              <w:rPr>
                <w:b w:val="false"/>
                <w:bCs w:val="false"/>
                <w:color w:val="202A36"/>
                <w:sz w:val="19"/>
                <w:szCs w:val="19"/>
              </w:rPr>
              <w:t xml:space="preserve">Topology visualization, threshold/bypass awareness, blast radius, IP-flow lookup tool.</w:t>
            </w:r>
          </w:p>
        </w:tc>
      </w:tr>
      <w:tr>
        <w:tc>
          <w:tcPr>
            <w:tcW w:type="dxa" w:w="1800"/>
            <w:tcMar>
              <w:top w:type="dxa" w:w="100"/>
              <w:left w:type="dxa" w:w="120"/>
              <w:bottom w:type="dxa" w:w="100"/>
              <w:right w:type="dxa" w:w="120"/>
            </w:tcMar>
          </w:tcPr>
          <w:p>
            <w:r>
              <w:rPr>
                <w:b w:val="false"/>
                <w:bCs w:val="false"/>
                <w:color w:val="202A36"/>
                <w:sz w:val="19"/>
                <w:szCs w:val="19"/>
              </w:rPr>
              <w:t xml:space="preserve">Phase 4</w:t>
            </w:r>
          </w:p>
        </w:tc>
        <w:tc>
          <w:tcPr>
            <w:tcW w:type="dxa" w:w="7550"/>
            <w:tcMar>
              <w:top w:type="dxa" w:w="100"/>
              <w:left w:type="dxa" w:w="120"/>
              <w:bottom w:type="dxa" w:w="100"/>
              <w:right w:type="dxa" w:w="120"/>
            </w:tcMar>
          </w:tcPr>
          <w:p>
            <w:r>
              <w:rPr>
                <w:b w:val="false"/>
                <w:bCs w:val="false"/>
                <w:color w:val="202A36"/>
                <w:sz w:val="19"/>
                <w:szCs w:val="19"/>
              </w:rPr>
              <w:t xml:space="preserve">PBR Time-Series Store for durable trend history; retire client-side-only history.</w:t>
            </w:r>
          </w:p>
        </w:tc>
      </w:tr>
      <w:tr>
        <w:tc>
          <w:tcPr>
            <w:tcW w:type="dxa" w:w="1800"/>
            <w:tcMar>
              <w:top w:type="dxa" w:w="100"/>
              <w:left w:type="dxa" w:w="120"/>
              <w:bottom w:type="dxa" w:w="100"/>
              <w:right w:type="dxa" w:w="120"/>
            </w:tcMar>
          </w:tcPr>
          <w:p>
            <w:r>
              <w:rPr>
                <w:b w:val="false"/>
                <w:bCs w:val="false"/>
                <w:color w:val="202A36"/>
                <w:sz w:val="19"/>
                <w:szCs w:val="19"/>
              </w:rPr>
              <w:t xml:space="preserve">Phase 5</w:t>
            </w:r>
          </w:p>
        </w:tc>
        <w:tc>
          <w:tcPr>
            <w:tcW w:type="dxa" w:w="7550"/>
            <w:tcMar>
              <w:top w:type="dxa" w:w="100"/>
              <w:left w:type="dxa" w:w="120"/>
              <w:bottom w:type="dxa" w:w="100"/>
              <w:right w:type="dxa" w:w="120"/>
            </w:tcMar>
          </w:tcPr>
          <w:p>
            <w:r>
              <w:rPr>
                <w:b w:val="false"/>
                <w:bCs w:val="false"/>
                <w:color w:val="202A36"/>
                <w:sz w:val="19"/>
                <w:szCs w:val="19"/>
              </w:rPr>
              <w:t xml:space="preserve">Expand fabric coverage beyond the pilot set; onboard as configuration, not code changes.</w:t>
            </w:r>
          </w:p>
        </w:tc>
      </w:tr>
      <w:tr>
        <w:tc>
          <w:tcPr>
            <w:tcW w:type="dxa" w:w="1800"/>
            <w:tcMar>
              <w:top w:type="dxa" w:w="100"/>
              <w:left w:type="dxa" w:w="120"/>
              <w:bottom w:type="dxa" w:w="100"/>
              <w:right w:type="dxa" w:w="120"/>
            </w:tcMar>
          </w:tcPr>
          <w:p>
            <w:r>
              <w:rPr>
                <w:b w:val="false"/>
                <w:bCs w:val="false"/>
                <w:color w:val="202A36"/>
                <w:sz w:val="19"/>
                <w:szCs w:val="19"/>
              </w:rPr>
              <w:t xml:space="preserve">Future / not this phase</w:t>
            </w:r>
          </w:p>
        </w:tc>
        <w:tc>
          <w:tcPr>
            <w:tcW w:type="dxa" w:w="7550"/>
            <w:tcMar>
              <w:top w:type="dxa" w:w="100"/>
              <w:left w:type="dxa" w:w="120"/>
              <w:bottom w:type="dxa" w:w="100"/>
              <w:right w:type="dxa" w:w="120"/>
            </w:tcMar>
          </w:tcPr>
          <w:p>
            <w:r>
              <w:rPr>
                <w:b w:val="false"/>
                <w:bCs w:val="false"/>
                <w:color w:val="202A36"/>
                <w:sz w:val="19"/>
                <w:szCs w:val="19"/>
              </w:rPr>
              <w:t xml:space="preserve">Write/remediation actions (e.g. flagging a bypassed node for a ticket automatically); deeper L1 real-time state once a reliable source is identified (§ 9.1).</w:t>
            </w:r>
          </w:p>
        </w:tc>
      </w:tr>
    </w:tbl>
    <w:p>
      <w:pPr>
        <w:pStyle w:val="Heading1"/>
        <w:spacing w:after="160" w:before="360"/>
      </w:pPr>
      <w:r>
        <w:t xml:space="preserve">13. Risks &amp; Mitigations</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4300"/>
        <w:gridCol w:w="5050"/>
      </w:tblGrid>
      <w:tr>
        <w:trPr>
          <w:tblHeader/>
        </w:trPr>
        <w:tc>
          <w:tcPr>
            <w:tcW w:type="dxa" w:w="4300"/>
            <w:shd w:fill="1A2634" w:val="clear"/>
            <w:tcMar>
              <w:top w:type="dxa" w:w="100"/>
              <w:left w:type="dxa" w:w="120"/>
              <w:bottom w:type="dxa" w:w="100"/>
              <w:right w:type="dxa" w:w="120"/>
            </w:tcMar>
          </w:tcPr>
          <w:p>
            <w:r>
              <w:rPr>
                <w:b/>
                <w:bCs/>
                <w:color w:val="FFFFFF"/>
                <w:sz w:val="19"/>
                <w:szCs w:val="19"/>
              </w:rPr>
              <w:t xml:space="preserve">Risk</w:t>
            </w:r>
          </w:p>
        </w:tc>
        <w:tc>
          <w:tcPr>
            <w:tcW w:type="dxa" w:w="5050"/>
            <w:shd w:fill="1A2634" w:val="clear"/>
            <w:tcMar>
              <w:top w:type="dxa" w:w="100"/>
              <w:left w:type="dxa" w:w="120"/>
              <w:bottom w:type="dxa" w:w="100"/>
              <w:right w:type="dxa" w:w="120"/>
            </w:tcMar>
          </w:tcPr>
          <w:p>
            <w:r>
              <w:rPr>
                <w:b/>
                <w:bCs/>
                <w:color w:val="FFFFFF"/>
                <w:sz w:val="19"/>
                <w:szCs w:val="19"/>
              </w:rPr>
              <w:t xml:space="preserve">Mitigation</w:t>
            </w:r>
          </w:p>
        </w:tc>
      </w:tr>
      <w:tr>
        <w:tc>
          <w:tcPr>
            <w:tcW w:type="dxa" w:w="4300"/>
            <w:tcMar>
              <w:top w:type="dxa" w:w="100"/>
              <w:left w:type="dxa" w:w="120"/>
              <w:bottom w:type="dxa" w:w="100"/>
              <w:right w:type="dxa" w:w="120"/>
            </w:tcMar>
          </w:tcPr>
          <w:p>
            <w:r>
              <w:rPr>
                <w:b w:val="false"/>
                <w:bCs w:val="false"/>
                <w:color w:val="202A36"/>
                <w:sz w:val="19"/>
                <w:szCs w:val="19"/>
              </w:rPr>
              <w:t xml:space="preserve">APIC polling load increases with more fabrics/frequency.</w:t>
            </w:r>
          </w:p>
        </w:tc>
        <w:tc>
          <w:tcPr>
            <w:tcW w:type="dxa" w:w="5050"/>
            <w:tcMar>
              <w:top w:type="dxa" w:w="100"/>
              <w:left w:type="dxa" w:w="120"/>
              <w:bottom w:type="dxa" w:w="100"/>
              <w:right w:type="dxa" w:w="120"/>
            </w:tcMar>
          </w:tcPr>
          <w:p>
            <w:r>
              <w:rPr>
                <w:b w:val="false"/>
                <w:bCs w:val="false"/>
                <w:color w:val="202A36"/>
                <w:sz w:val="19"/>
                <w:szCs w:val="19"/>
              </w:rPr>
              <w:t xml:space="preserve">Tiered polling cadence (§ 7.2); structural data polled far less often than fault/health data.</w:t>
            </w:r>
          </w:p>
        </w:tc>
      </w:tr>
      <w:tr>
        <w:tc>
          <w:tcPr>
            <w:tcW w:type="dxa" w:w="4300"/>
            <w:tcMar>
              <w:top w:type="dxa" w:w="100"/>
              <w:left w:type="dxa" w:w="120"/>
              <w:bottom w:type="dxa" w:w="100"/>
              <w:right w:type="dxa" w:w="120"/>
            </w:tcMar>
          </w:tcPr>
          <w:p>
            <w:r>
              <w:rPr>
                <w:b w:val="false"/>
                <w:bCs w:val="false"/>
                <w:color w:val="202A36"/>
                <w:sz w:val="19"/>
                <w:szCs w:val="19"/>
              </w:rPr>
              <w:t xml:space="preserve">Incomplete data fetch silently produces wrong answers (as happened in § 9.2).</w:t>
            </w:r>
          </w:p>
        </w:tc>
        <w:tc>
          <w:tcPr>
            <w:tcW w:type="dxa" w:w="5050"/>
            <w:tcMar>
              <w:top w:type="dxa" w:w="100"/>
              <w:left w:type="dxa" w:w="120"/>
              <w:bottom w:type="dxa" w:w="100"/>
              <w:right w:type="dxa" w:w="120"/>
            </w:tcMar>
          </w:tcPr>
          <w:p>
            <w:r>
              <w:rPr>
                <w:b w:val="false"/>
                <w:bCs w:val="false"/>
                <w:color w:val="202A36"/>
                <w:sz w:val="19"/>
                <w:szCs w:val="19"/>
              </w:rPr>
              <w:t xml:space="preserve">Programmatic ingestion with count verification against API-reported totals; no manual data entry in the production pipeline.</w:t>
            </w:r>
          </w:p>
        </w:tc>
      </w:tr>
      <w:tr>
        <w:tc>
          <w:tcPr>
            <w:tcW w:type="dxa" w:w="4300"/>
            <w:tcMar>
              <w:top w:type="dxa" w:w="100"/>
              <w:left w:type="dxa" w:w="120"/>
              <w:bottom w:type="dxa" w:w="100"/>
              <w:right w:type="dxa" w:w="120"/>
            </w:tcMar>
          </w:tcPr>
          <w:p>
            <w:r>
              <w:rPr>
                <w:b w:val="false"/>
                <w:bCs w:val="false"/>
                <w:color w:val="202A36"/>
                <w:sz w:val="19"/>
                <w:szCs w:val="19"/>
              </w:rPr>
              <w:t xml:space="preserve">Threshold/bypass logic regresses to the bypass≠permit≠deny bug (§ 9.3).</w:t>
            </w:r>
          </w:p>
        </w:tc>
        <w:tc>
          <w:tcPr>
            <w:tcW w:type="dxa" w:w="5050"/>
            <w:tcMar>
              <w:top w:type="dxa" w:w="100"/>
              <w:left w:type="dxa" w:w="120"/>
              <w:bottom w:type="dxa" w:w="100"/>
              <w:right w:type="dxa" w:w="120"/>
            </w:tcMar>
          </w:tcPr>
          <w:p>
            <w:r>
              <w:rPr>
                <w:b w:val="false"/>
                <w:bCs w:val="false"/>
                <w:color w:val="202A36"/>
                <w:sz w:val="19"/>
                <w:szCs w:val="19"/>
              </w:rPr>
              <w:t xml:space="preserve">Unit tests encoding this exact distinction as a required, non-negotiable behavior.</w:t>
            </w:r>
          </w:p>
        </w:tc>
      </w:tr>
      <w:tr>
        <w:tc>
          <w:tcPr>
            <w:tcW w:type="dxa" w:w="4300"/>
            <w:tcMar>
              <w:top w:type="dxa" w:w="100"/>
              <w:left w:type="dxa" w:w="120"/>
              <w:bottom w:type="dxa" w:w="100"/>
              <w:right w:type="dxa" w:w="120"/>
            </w:tcMar>
          </w:tcPr>
          <w:p>
            <w:r>
              <w:rPr>
                <w:b w:val="false"/>
                <w:bCs w:val="false"/>
                <w:color w:val="202A36"/>
                <w:sz w:val="19"/>
                <w:szCs w:val="19"/>
              </w:rPr>
              <w:t xml:space="preserve">Users over-trust L1 health/threshold state that isn't actually reliable (§ 9.1).</w:t>
            </w:r>
          </w:p>
        </w:tc>
        <w:tc>
          <w:tcPr>
            <w:tcW w:type="dxa" w:w="5050"/>
            <w:tcMar>
              <w:top w:type="dxa" w:w="100"/>
              <w:left w:type="dxa" w:w="120"/>
              <w:bottom w:type="dxa" w:w="100"/>
              <w:right w:type="dxa" w:w="120"/>
            </w:tcMar>
          </w:tcPr>
          <w:p>
            <w:r>
              <w:rPr>
                <w:b w:val="false"/>
                <w:bCs w:val="false"/>
                <w:color w:val="202A36"/>
                <w:sz w:val="19"/>
                <w:szCs w:val="19"/>
              </w:rPr>
              <w:t xml:space="preserve">UI must continue to label L1 state as “configuration only, not real-time” rather than silently presenting a number.</w:t>
            </w:r>
          </w:p>
        </w:tc>
      </w:tr>
      <w:tr>
        <w:tc>
          <w:tcPr>
            <w:tcW w:type="dxa" w:w="4300"/>
            <w:tcMar>
              <w:top w:type="dxa" w:w="100"/>
              <w:left w:type="dxa" w:w="120"/>
              <w:bottom w:type="dxa" w:w="100"/>
              <w:right w:type="dxa" w:w="120"/>
            </w:tcMar>
          </w:tcPr>
          <w:p>
            <w:r>
              <w:rPr>
                <w:b w:val="false"/>
                <w:bCs w:val="false"/>
                <w:color w:val="202A36"/>
                <w:sz w:val="19"/>
                <w:szCs w:val="19"/>
              </w:rPr>
              <w:t xml:space="preserve">Scope creep into write/remediation actions before read-path is solid.</w:t>
            </w:r>
          </w:p>
        </w:tc>
        <w:tc>
          <w:tcPr>
            <w:tcW w:type="dxa" w:w="5050"/>
            <w:tcMar>
              <w:top w:type="dxa" w:w="100"/>
              <w:left w:type="dxa" w:w="120"/>
              <w:bottom w:type="dxa" w:w="100"/>
              <w:right w:type="dxa" w:w="120"/>
            </w:tcMar>
          </w:tcPr>
          <w:p>
            <w:r>
              <w:rPr>
                <w:b w:val="false"/>
                <w:bCs w:val="false"/>
                <w:color w:val="202A36"/>
                <w:sz w:val="19"/>
                <w:szCs w:val="19"/>
              </w:rPr>
              <w:t xml:space="preserve">Explicitly deferred to a future phase (§ 12); this SDD's phases 1–5 are read-only.</w:t>
            </w:r>
          </w:p>
        </w:tc>
      </w:tr>
    </w:tbl>
    <w:p>
      <w:r>
        <w:br w:type="page"/>
      </w:r>
    </w:p>
    <w:p>
      <w:pPr>
        <w:pStyle w:val="Heading1"/>
        <w:spacing w:after="160" w:before="360"/>
      </w:pPr>
      <w:r>
        <w:t xml:space="preserve">14. Appendix A — Glossary</w:t>
      </w:r>
    </w:p>
    <w:tbl>
      <w:tblPr>
        <w:tblW w:type="dxa" w:w="9350"/>
        <w:tblBorders>
          <w:top w:val="single" w:color="C9D2DE" w:sz="4"/>
          <w:left w:val="single" w:color="C9D2DE" w:sz="4"/>
          <w:bottom w:val="single" w:color="C9D2DE" w:sz="4"/>
          <w:right w:val="single" w:color="C9D2DE" w:sz="4"/>
          <w:insideH w:val="single" w:color="C9D2DE" w:sz="4"/>
          <w:insideV w:val="single" w:color="C9D2DE" w:sz="4"/>
        </w:tblBorders>
      </w:tblPr>
      <w:tblGrid>
        <w:gridCol w:w="3000"/>
        <w:gridCol w:w="6350"/>
      </w:tblGrid>
      <w:tr>
        <w:trPr>
          <w:tblHeader/>
        </w:trPr>
        <w:tc>
          <w:tcPr>
            <w:tcW w:type="dxa" w:w="3000"/>
            <w:shd w:fill="1A2634" w:val="clear"/>
            <w:tcMar>
              <w:top w:type="dxa" w:w="100"/>
              <w:left w:type="dxa" w:w="120"/>
              <w:bottom w:type="dxa" w:w="100"/>
              <w:right w:type="dxa" w:w="120"/>
            </w:tcMar>
          </w:tcPr>
          <w:p>
            <w:r>
              <w:rPr>
                <w:b/>
                <w:bCs/>
                <w:color w:val="FFFFFF"/>
                <w:sz w:val="19"/>
                <w:szCs w:val="19"/>
              </w:rPr>
              <w:t xml:space="preserve">Term</w:t>
            </w:r>
          </w:p>
        </w:tc>
        <w:tc>
          <w:tcPr>
            <w:tcW w:type="dxa" w:w="6350"/>
            <w:shd w:fill="1A2634" w:val="clear"/>
            <w:tcMar>
              <w:top w:type="dxa" w:w="100"/>
              <w:left w:type="dxa" w:w="120"/>
              <w:bottom w:type="dxa" w:w="100"/>
              <w:right w:type="dxa" w:w="120"/>
            </w:tcMar>
          </w:tcPr>
          <w:p>
            <w:r>
              <w:rPr>
                <w:b/>
                <w:bCs/>
                <w:color w:val="FFFFFF"/>
                <w:sz w:val="19"/>
                <w:szCs w:val="19"/>
              </w:rPr>
              <w:t xml:space="preserve">Meaning</w:t>
            </w:r>
          </w:p>
        </w:tc>
      </w:tr>
      <w:tr>
        <w:tc>
          <w:tcPr>
            <w:tcW w:type="dxa" w:w="3000"/>
            <w:tcMar>
              <w:top w:type="dxa" w:w="100"/>
              <w:left w:type="dxa" w:w="120"/>
              <w:bottom w:type="dxa" w:w="100"/>
              <w:right w:type="dxa" w:w="120"/>
            </w:tcMar>
          </w:tcPr>
          <w:p>
            <w:r>
              <w:rPr>
                <w:b w:val="false"/>
                <w:bCs w:val="false"/>
                <w:color w:val="202A36"/>
                <w:sz w:val="19"/>
                <w:szCs w:val="19"/>
              </w:rPr>
              <w:t xml:space="preserve">PBR</w:t>
            </w:r>
          </w:p>
        </w:tc>
        <w:tc>
          <w:tcPr>
            <w:tcW w:type="dxa" w:w="6350"/>
            <w:tcMar>
              <w:top w:type="dxa" w:w="100"/>
              <w:left w:type="dxa" w:w="120"/>
              <w:bottom w:type="dxa" w:w="100"/>
              <w:right w:type="dxa" w:w="120"/>
            </w:tcMar>
          </w:tcPr>
          <w:p>
            <w:r>
              <w:rPr>
                <w:b w:val="false"/>
                <w:bCs w:val="false"/>
                <w:color w:val="202A36"/>
                <w:sz w:val="19"/>
                <w:szCs w:val="19"/>
              </w:rPr>
              <w:t xml:space="preserve">Policy-Based Redirect — ACI's mechanism for steering traffic matching a contract through an L4-L7 service device.</w:t>
            </w:r>
          </w:p>
        </w:tc>
      </w:tr>
      <w:tr>
        <w:tc>
          <w:tcPr>
            <w:tcW w:type="dxa" w:w="3000"/>
            <w:tcMar>
              <w:top w:type="dxa" w:w="100"/>
              <w:left w:type="dxa" w:w="120"/>
              <w:bottom w:type="dxa" w:w="100"/>
              <w:right w:type="dxa" w:w="120"/>
            </w:tcMar>
          </w:tcPr>
          <w:p>
            <w:r>
              <w:rPr>
                <w:b w:val="false"/>
                <w:bCs w:val="false"/>
                <w:color w:val="202A36"/>
                <w:sz w:val="19"/>
                <w:szCs w:val="19"/>
              </w:rPr>
              <w:t xml:space="preserve">L4-L7 service graph</w:t>
            </w:r>
          </w:p>
        </w:tc>
        <w:tc>
          <w:tcPr>
            <w:tcW w:type="dxa" w:w="6350"/>
            <w:tcMar>
              <w:top w:type="dxa" w:w="100"/>
              <w:left w:type="dxa" w:w="120"/>
              <w:bottom w:type="dxa" w:w="100"/>
              <w:right w:type="dxa" w:w="120"/>
            </w:tcMar>
          </w:tcPr>
          <w:p>
            <w:r>
              <w:rPr>
                <w:b w:val="false"/>
                <w:bCs w:val="false"/>
                <w:color w:val="202A36"/>
                <w:sz w:val="19"/>
                <w:szCs w:val="19"/>
              </w:rPr>
              <w:t xml:space="preserve">The ACI construct defining a chain of service devices (firewalls, DPI, CGNAT, etc.) traffic is redirected through.</w:t>
            </w:r>
          </w:p>
        </w:tc>
      </w:tr>
      <w:tr>
        <w:tc>
          <w:tcPr>
            <w:tcW w:type="dxa" w:w="3000"/>
            <w:tcMar>
              <w:top w:type="dxa" w:w="100"/>
              <w:left w:type="dxa" w:w="120"/>
              <w:bottom w:type="dxa" w:w="100"/>
              <w:right w:type="dxa" w:w="120"/>
            </w:tcMar>
          </w:tcPr>
          <w:p>
            <w:r>
              <w:rPr>
                <w:b w:val="false"/>
                <w:bCs w:val="false"/>
                <w:color w:val="202A36"/>
                <w:sz w:val="19"/>
                <w:szCs w:val="19"/>
              </w:rPr>
              <w:t xml:space="preserve">EPG / External EPG</w:t>
            </w:r>
          </w:p>
        </w:tc>
        <w:tc>
          <w:tcPr>
            <w:tcW w:type="dxa" w:w="6350"/>
            <w:tcMar>
              <w:top w:type="dxa" w:w="100"/>
              <w:left w:type="dxa" w:w="120"/>
              <w:bottom w:type="dxa" w:w="100"/>
              <w:right w:type="dxa" w:w="120"/>
            </w:tcMar>
          </w:tcPr>
          <w:p>
            <w:r>
              <w:rPr>
                <w:b w:val="false"/>
                <w:bCs w:val="false"/>
                <w:color w:val="202A36"/>
                <w:sz w:val="19"/>
                <w:szCs w:val="19"/>
              </w:rPr>
              <w:t xml:space="preserve">Endpoint Group; an External EPG classifies traffic arriving via an L3Out by subnet.</w:t>
            </w:r>
          </w:p>
        </w:tc>
      </w:tr>
      <w:tr>
        <w:tc>
          <w:tcPr>
            <w:tcW w:type="dxa" w:w="3000"/>
            <w:tcMar>
              <w:top w:type="dxa" w:w="100"/>
              <w:left w:type="dxa" w:w="120"/>
              <w:bottom w:type="dxa" w:w="100"/>
              <w:right w:type="dxa" w:w="120"/>
            </w:tcMar>
          </w:tcPr>
          <w:p>
            <w:r>
              <w:rPr>
                <w:b w:val="false"/>
                <w:bCs w:val="false"/>
                <w:color w:val="202A36"/>
                <w:sz w:val="19"/>
                <w:szCs w:val="19"/>
              </w:rPr>
              <w:t xml:space="preserve">L3Out</w:t>
            </w:r>
          </w:p>
        </w:tc>
        <w:tc>
          <w:tcPr>
            <w:tcW w:type="dxa" w:w="6350"/>
            <w:tcMar>
              <w:top w:type="dxa" w:w="100"/>
              <w:left w:type="dxa" w:w="120"/>
              <w:bottom w:type="dxa" w:w="100"/>
              <w:right w:type="dxa" w:w="120"/>
            </w:tcMar>
          </w:tcPr>
          <w:p>
            <w:r>
              <w:rPr>
                <w:b w:val="false"/>
                <w:bCs w:val="false"/>
                <w:color w:val="202A36"/>
                <w:sz w:val="19"/>
                <w:szCs w:val="19"/>
              </w:rPr>
              <w:t xml:space="preserve">ACI construct connecting a tenant VRF to the outside world via a routed interface.</w:t>
            </w:r>
          </w:p>
        </w:tc>
      </w:tr>
      <w:tr>
        <w:tc>
          <w:tcPr>
            <w:tcW w:type="dxa" w:w="3000"/>
            <w:tcMar>
              <w:top w:type="dxa" w:w="100"/>
              <w:left w:type="dxa" w:w="120"/>
              <w:bottom w:type="dxa" w:w="100"/>
              <w:right w:type="dxa" w:w="120"/>
            </w:tcMar>
          </w:tcPr>
          <w:p>
            <w:r>
              <w:rPr>
                <w:b w:val="false"/>
                <w:bCs w:val="false"/>
                <w:color w:val="202A36"/>
                <w:sz w:val="19"/>
                <w:szCs w:val="19"/>
              </w:rPr>
              <w:t xml:space="preserve">VRF</w:t>
            </w:r>
          </w:p>
        </w:tc>
        <w:tc>
          <w:tcPr>
            <w:tcW w:type="dxa" w:w="6350"/>
            <w:tcMar>
              <w:top w:type="dxa" w:w="100"/>
              <w:left w:type="dxa" w:w="120"/>
              <w:bottom w:type="dxa" w:w="100"/>
              <w:right w:type="dxa" w:w="120"/>
            </w:tcMar>
          </w:tcPr>
          <w:p>
            <w:r>
              <w:rPr>
                <w:b w:val="false"/>
                <w:bCs w:val="false"/>
                <w:color w:val="202A36"/>
                <w:sz w:val="19"/>
                <w:szCs w:val="19"/>
              </w:rPr>
              <w:t xml:space="preserve">Virtual Routing and Forwarding instance — an isolated routing table.</w:t>
            </w:r>
          </w:p>
        </w:tc>
      </w:tr>
      <w:tr>
        <w:tc>
          <w:tcPr>
            <w:tcW w:type="dxa" w:w="3000"/>
            <w:tcMar>
              <w:top w:type="dxa" w:w="100"/>
              <w:left w:type="dxa" w:w="120"/>
              <w:bottom w:type="dxa" w:w="100"/>
              <w:right w:type="dxa" w:w="120"/>
            </w:tcMar>
          </w:tcPr>
          <w:p>
            <w:r>
              <w:rPr>
                <w:b w:val="false"/>
                <w:bCs w:val="false"/>
                <w:color w:val="202A36"/>
                <w:sz w:val="19"/>
                <w:szCs w:val="19"/>
              </w:rPr>
              <w:t xml:space="preserve">Device Selection Policy (vnsLDevCtx)</w:t>
            </w:r>
          </w:p>
        </w:tc>
        <w:tc>
          <w:tcPr>
            <w:tcW w:type="dxa" w:w="6350"/>
            <w:tcMar>
              <w:top w:type="dxa" w:w="100"/>
              <w:left w:type="dxa" w:w="120"/>
              <w:bottom w:type="dxa" w:w="100"/>
              <w:right w:type="dxa" w:w="120"/>
            </w:tcMar>
          </w:tcPr>
          <w:p>
            <w:r>
              <w:rPr>
                <w:b w:val="false"/>
                <w:bCs w:val="false"/>
                <w:color w:val="202A36"/>
                <w:sz w:val="19"/>
                <w:szCs w:val="19"/>
              </w:rPr>
              <w:t xml:space="preserve">Binds a contract+graph+node to a concrete device and its consumer/provider connectors.</w:t>
            </w:r>
          </w:p>
        </w:tc>
      </w:tr>
      <w:tr>
        <w:tc>
          <w:tcPr>
            <w:tcW w:type="dxa" w:w="3000"/>
            <w:tcMar>
              <w:top w:type="dxa" w:w="100"/>
              <w:left w:type="dxa" w:w="120"/>
              <w:bottom w:type="dxa" w:w="100"/>
              <w:right w:type="dxa" w:w="120"/>
            </w:tcMar>
          </w:tcPr>
          <w:p>
            <w:r>
              <w:rPr>
                <w:b w:val="false"/>
                <w:bCs w:val="false"/>
                <w:color w:val="202A36"/>
                <w:sz w:val="19"/>
                <w:szCs w:val="19"/>
              </w:rPr>
              <w:t xml:space="preserve">Deployed Graph Instance (vnsGraphInst)</w:t>
            </w:r>
          </w:p>
        </w:tc>
        <w:tc>
          <w:tcPr>
            <w:tcW w:type="dxa" w:w="6350"/>
            <w:tcMar>
              <w:top w:type="dxa" w:w="100"/>
              <w:left w:type="dxa" w:w="120"/>
              <w:bottom w:type="dxa" w:w="100"/>
              <w:right w:type="dxa" w:w="120"/>
            </w:tcMar>
          </w:tcPr>
          <w:p>
            <w:r>
              <w:rPr>
                <w:b w:val="false"/>
                <w:bCs w:val="false"/>
                <w:color w:val="202A36"/>
                <w:sz w:val="19"/>
                <w:szCs w:val="19"/>
              </w:rPr>
              <w:t xml:space="preserve">The runtime object representing an actually-instantiated service graph; source of render faults.</w:t>
            </w:r>
          </w:p>
        </w:tc>
      </w:tr>
      <w:tr>
        <w:tc>
          <w:tcPr>
            <w:tcW w:type="dxa" w:w="3000"/>
            <w:tcMar>
              <w:top w:type="dxa" w:w="100"/>
              <w:left w:type="dxa" w:w="120"/>
              <w:bottom w:type="dxa" w:w="100"/>
              <w:right w:type="dxa" w:w="120"/>
            </w:tcMar>
          </w:tcPr>
          <w:p>
            <w:r>
              <w:rPr>
                <w:b w:val="false"/>
                <w:bCs w:val="false"/>
                <w:color w:val="202A36"/>
                <w:sz w:val="19"/>
                <w:szCs w:val="19"/>
              </w:rPr>
              <w:t xml:space="preserve">Redirect policy (vnsSvcRedirectPol)</w:t>
            </w:r>
          </w:p>
        </w:tc>
        <w:tc>
          <w:tcPr>
            <w:tcW w:type="dxa" w:w="6350"/>
            <w:tcMar>
              <w:top w:type="dxa" w:w="100"/>
              <w:left w:type="dxa" w:w="120"/>
              <w:bottom w:type="dxa" w:w="100"/>
              <w:right w:type="dxa" w:w="120"/>
            </w:tcMar>
          </w:tcPr>
          <w:p>
            <w:r>
              <w:rPr>
                <w:b w:val="false"/>
                <w:bCs w:val="false"/>
                <w:color w:val="202A36"/>
                <w:sz w:val="19"/>
                <w:szCs w:val="19"/>
              </w:rPr>
              <w:t xml:space="preserve">Defines the destination(s) traffic is redirected to, hashing, and threshold/bypass behavior.</w:t>
            </w:r>
          </w:p>
        </w:tc>
      </w:tr>
      <w:tr>
        <w:tc>
          <w:tcPr>
            <w:tcW w:type="dxa" w:w="3000"/>
            <w:tcMar>
              <w:top w:type="dxa" w:w="100"/>
              <w:left w:type="dxa" w:w="120"/>
              <w:bottom w:type="dxa" w:w="100"/>
              <w:right w:type="dxa" w:w="120"/>
            </w:tcMar>
          </w:tcPr>
          <w:p>
            <w:r>
              <w:rPr>
                <w:b w:val="false"/>
                <w:bCs w:val="false"/>
                <w:color w:val="202A36"/>
                <w:sz w:val="19"/>
                <w:szCs w:val="19"/>
              </w:rPr>
              <w:t xml:space="preserve">Threshold bypass</w:t>
            </w:r>
          </w:p>
        </w:tc>
        <w:tc>
          <w:tcPr>
            <w:tcW w:type="dxa" w:w="6350"/>
            <w:tcMar>
              <w:top w:type="dxa" w:w="100"/>
              <w:left w:type="dxa" w:w="120"/>
              <w:bottom w:type="dxa" w:w="100"/>
              <w:right w:type="dxa" w:w="120"/>
            </w:tcMar>
          </w:tcPr>
          <w:p>
            <w:r>
              <w:rPr>
                <w:b w:val="false"/>
                <w:bCs w:val="false"/>
                <w:color w:val="202A36"/>
                <w:sz w:val="19"/>
                <w:szCs w:val="19"/>
              </w:rPr>
              <w:t xml:space="preserve">ACI feature: if the percentage of active (learned) redirect destinations falls below a configured minimum, a configured Down Action (bypass/permit/deny) fires.</w:t>
            </w:r>
          </w:p>
        </w:tc>
      </w:tr>
      <w:tr>
        <w:tc>
          <w:tcPr>
            <w:tcW w:type="dxa" w:w="3000"/>
            <w:tcMar>
              <w:top w:type="dxa" w:w="100"/>
              <w:left w:type="dxa" w:w="120"/>
              <w:bottom w:type="dxa" w:w="100"/>
              <w:right w:type="dxa" w:w="120"/>
            </w:tcMar>
          </w:tcPr>
          <w:p>
            <w:r>
              <w:rPr>
                <w:b w:val="false"/>
                <w:bCs w:val="false"/>
                <w:color w:val="202A36"/>
                <w:sz w:val="19"/>
                <w:szCs w:val="19"/>
              </w:rPr>
              <w:t xml:space="preserve">Scope-valid subnet</w:t>
            </w:r>
          </w:p>
        </w:tc>
        <w:tc>
          <w:tcPr>
            <w:tcW w:type="dxa" w:w="6350"/>
            <w:tcMar>
              <w:top w:type="dxa" w:w="100"/>
              <w:left w:type="dxa" w:w="120"/>
              <w:bottom w:type="dxa" w:w="100"/>
              <w:right w:type="dxa" w:w="120"/>
            </w:tcMar>
          </w:tcPr>
          <w:p>
            <w:r>
              <w:rPr>
                <w:b w:val="false"/>
                <w:bCs w:val="false"/>
                <w:color w:val="202A36"/>
                <w:sz w:val="19"/>
                <w:szCs w:val="19"/>
              </w:rPr>
              <w:t xml:space="preserve">An l3extSubnet whose scope includes import-security — i.e. “External Subnets for the External EPG” is actually checked, making it usable for traffic classification.</w:t>
            </w:r>
          </w:p>
        </w:tc>
      </w:tr>
      <w:tr>
        <w:tc>
          <w:tcPr>
            <w:tcW w:type="dxa" w:w="3000"/>
            <w:tcMar>
              <w:top w:type="dxa" w:w="100"/>
              <w:left w:type="dxa" w:w="120"/>
              <w:bottom w:type="dxa" w:w="100"/>
              <w:right w:type="dxa" w:w="120"/>
            </w:tcMar>
          </w:tcPr>
          <w:p>
            <w:r>
              <w:rPr>
                <w:b w:val="false"/>
                <w:bCs w:val="false"/>
                <w:color w:val="202A36"/>
                <w:sz w:val="19"/>
                <w:szCs w:val="19"/>
              </w:rPr>
              <w:t xml:space="preserve">Blast radius (this tool's usage)</w:t>
            </w:r>
          </w:p>
        </w:tc>
        <w:tc>
          <w:tcPr>
            <w:tcW w:type="dxa" w:w="6350"/>
            <w:tcMar>
              <w:top w:type="dxa" w:w="100"/>
              <w:left w:type="dxa" w:w="120"/>
              <w:bottom w:type="dxa" w:w="100"/>
              <w:right w:type="dxa" w:w="120"/>
            </w:tcMar>
          </w:tcPr>
          <w:p>
            <w:r>
              <w:rPr>
                <w:b w:val="false"/>
                <w:bCs w:val="false"/>
                <w:color w:val="202A36"/>
                <w:sz w:val="19"/>
                <w:szCs w:val="19"/>
              </w:rPr>
              <w:t xml:space="preserve">Other PBR services sharing a device group with the one being examined — what else is at risk if that device is touched.</w:t>
            </w:r>
          </w:p>
        </w:tc>
      </w:tr>
    </w:tbl>
    <w:p>
      <w:pPr>
        <w:pStyle w:val="Heading1"/>
        <w:spacing w:after="160" w:before="360"/>
      </w:pPr>
      <w:r>
        <w:t xml:space="preserve">15. Appendix B — Open Questions for Reviewers</w:t>
      </w:r>
    </w:p>
    <w:p>
      <w:pPr>
        <w:pStyle w:val="ListParagraph"/>
        <w:numPr>
          <w:ilvl w:val="0"/>
          <w:numId w:val="3"/>
        </w:numPr>
        <w:spacing w:after="80" w:line="268"/>
      </w:pPr>
      <w:r>
        <w:rPr>
          <w:color w:val="202A36"/>
          <w:sz w:val="21"/>
          <w:szCs w:val="21"/>
        </w:rPr>
        <w:t xml:space="preserve">Which NetverseAI backend service/team owns new scheduled ingestion jobs, and what's the existing pattern for adding one?</w:t>
      </w:r>
    </w:p>
    <w:p>
      <w:pPr>
        <w:pStyle w:val="ListParagraph"/>
        <w:numPr>
          <w:ilvl w:val="0"/>
          <w:numId w:val="3"/>
        </w:numPr>
        <w:spacing w:after="80" w:line="268"/>
      </w:pPr>
      <w:r>
        <w:rPr>
          <w:color w:val="202A36"/>
          <w:sz w:val="21"/>
          <w:szCs w:val="21"/>
        </w:rPr>
        <w:t xml:space="preserve">Does NetverseAI already have a time-series store suitable for PBR health history, or does this require a new one?</w:t>
      </w:r>
    </w:p>
    <w:p>
      <w:pPr>
        <w:pStyle w:val="ListParagraph"/>
        <w:numPr>
          <w:ilvl w:val="0"/>
          <w:numId w:val="3"/>
        </w:numPr>
        <w:spacing w:after="80" w:line="268"/>
      </w:pPr>
      <w:r>
        <w:rPr>
          <w:color w:val="202A36"/>
          <w:sz w:val="21"/>
          <w:szCs w:val="21"/>
        </w:rPr>
        <w:t xml:space="preserve">What's the acceptable staleness window for structural data (vnsLDevCtx, l3extSubnet, etc.) from a NOC-usage perspective — does § 7.2's 15–60 minute suggestion match real expectations?</w:t>
      </w:r>
    </w:p>
    <w:p>
      <w:pPr>
        <w:pStyle w:val="ListParagraph"/>
        <w:numPr>
          <w:ilvl w:val="0"/>
          <w:numId w:val="3"/>
        </w:numPr>
        <w:spacing w:after="80" w:line="268"/>
      </w:pPr>
      <w:r>
        <w:rPr>
          <w:color w:val="202A36"/>
          <w:sz w:val="21"/>
          <w:szCs w:val="21"/>
        </w:rPr>
        <w:t xml:space="preserve">Should blast radius be extended to L3Out-sharing in a future phase, given it was deliberately scoped to device-group-only in this version?</w:t>
      </w:r>
    </w:p>
    <w:p>
      <w:pPr>
        <w:pStyle w:val="ListParagraph"/>
        <w:numPr>
          <w:ilvl w:val="0"/>
          <w:numId w:val="3"/>
        </w:numPr>
        <w:spacing w:after="80" w:line="268"/>
      </w:pPr>
      <w:r>
        <w:rPr>
          <w:color w:val="202A36"/>
          <w:sz w:val="21"/>
          <w:szCs w:val="21"/>
        </w:rPr>
        <w:t xml:space="preserve">Who are the right ACI/PBR SMEs to validate § 9.1's L1 operational-state finding before production build starts?</w:t>
      </w:r>
    </w:p>
    <w:p>
      <w:pPr>
        <w:spacing w:after="200"/>
      </w:pPr>
    </w:p>
    <w:p>
      <w:pPr>
        <w:pBdr>
          <w:top w:val="single" w:color="C9D2DE" w:sz="6"/>
        </w:pBdr>
        <w:spacing w:before="200"/>
      </w:pPr>
      <w:r>
        <w:rPr>
          <w:i/>
          <w:iCs/>
          <w:color w:val="5A6B7F"/>
          <w:sz w:val="18"/>
          <w:szCs w:val="18"/>
        </w:rPr>
        <w:t xml:space="preserve">End of document.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8"/>
        <w:sz w:val="15"/>
        <w:szCs w:val="15"/>
      </w:rPr>
      <w:t xml:space="preserve">Page </w:t>
    </w:r>
    <w:r>
      <w:rPr>
        <w:color w:val="8A97A8"/>
        <w:sz w:val="15"/>
        <w:szCs w:val="15"/>
      </w:rPr>
      <w:fldChar w:fldCharType="begin"/>
      <w:instrText xml:space="preserve">PAGE</w:instrText>
      <w:fldChar w:fldCharType="separate"/>
      <w:fldChar w:fldCharType="end"/>
    </w:r>
    <w:r>
      <w:rPr>
        <w:color w:val="8A97A8"/>
        <w:sz w:val="15"/>
        <w:szCs w:val="15"/>
      </w:rPr>
      <w:t xml:space="preserve"> of </w:t>
    </w:r>
    <w:r>
      <w:rPr>
        <w:color w:val="8A97A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8"/>
        <w:sz w:val="15"/>
        <w:szCs w:val="15"/>
      </w:rPr>
      <w:t xml:space="preserve">NetverseAI — PBR Flow Monitoring · SDD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0757cfc32a66918ccc8eb148b4ea3b5ec687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2026-07-29T05:01:21.670Z</dcterms:created>
  <dcterms:modified xsi:type="dcterms:W3CDTF">2026-07-29T05:01:21.686Z</dcterms:modified>
</cp:coreProperties>
</file>

<file path=docProps/custom.xml><?xml version="1.0" encoding="utf-8"?>
<Properties xmlns="http://schemas.openxmlformats.org/officeDocument/2006/custom-properties" xmlns:vt="http://schemas.openxmlformats.org/officeDocument/2006/docPropsVTypes"/>
</file>