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40"/>
      </w:pPr>
      <w:r>
        <w:t>Application Workflow and</w:t>
        <w:br/>
        <w:t>Decision Logic</w:t>
      </w:r>
    </w:p>
    <w:p>
      <w:pPr>
        <w:pStyle w:val="Subtitle"/>
        <w:spacing w:before="80"/>
      </w:pPr>
      <w:r>
        <w:t>A code-based guide to the FYERS index options engine</w:t>
      </w:r>
    </w:p>
    <w:p>
      <w:r>
        <w:t>Prepared for engineers and operators who need to understand the actual data path, calculations, decision rules, settings, execution controls, and trade monitoring.</w:t>
      </w:r>
    </w:p>
    <w:p>
      <w:r>
        <w:t>Source review date: 11 October 2026  |  Repository modules: app.py, engine.py, option_signal.py, decision.py, ai_sentiment.py, fyers_client.py, app_config.py, trading_journal.py</w:t>
      </w:r>
    </w:p>
    <w:p>
      <w:pPr>
        <w:spacing w:after="400"/>
      </w:pPr>
    </w:p>
    <w:tbl>
      <w:tblPr>
        <w:tblW w:type="auto" w:w="0"/>
        <w:jc w:val="center"/>
        <w:tblLook w:firstColumn="1" w:firstRow="1" w:lastColumn="0" w:lastRow="0" w:noHBand="0" w:noVBand="1" w:val="04A0"/>
      </w:tblPr>
      <w:tblGrid>
        <w:gridCol w:w="9835"/>
      </w:tblGrid>
      <w:tr>
        <w:tc>
          <w:tcPr>
            <w:tcW w:type="dxa" w:w="9835"/>
            <w:shd w:fill="E8F2F4"/>
            <w:tcMar>
              <w:top w:w="130" w:type="dxa"/>
              <w:start w:w="150" w:type="dxa"/>
              <w:bottom w:w="130" w:type="dxa"/>
              <w:end w:w="150" w:type="dxa"/>
            </w:tcMar>
          </w:tcPr>
          <w:p>
            <w:pPr>
              <w:spacing w:after="40"/>
            </w:pPr>
            <w:r/>
            <w:r>
              <w:rPr>
                <w:b/>
                <w:color w:val="117C83"/>
              </w:rPr>
              <w:t>Key interpretation</w:t>
            </w:r>
          </w:p>
          <w:p>
            <w:pPr>
              <w:spacing w:after="0" w:line="240" w:lineRule="auto"/>
            </w:pPr>
            <w:r>
              <w:rPr>
                <w:sz w:val="18"/>
              </w:rPr>
              <w:t>The dashboard’s “Probability of Move” is a rule-based upside/downside score split anchored to nearby option open-interest walls and adjusted by seven fixed-size signals. It is not a statistically calibrated probability that the market will move, nor the same thing as the separate expected-range estimate.</w:t>
            </w:r>
          </w:p>
        </w:tc>
      </w:tr>
    </w:tbl>
    <w:p>
      <w:pPr>
        <w:spacing w:after="20"/>
      </w:pPr>
    </w:p>
    <w:p>
      <w:pPr>
        <w:pStyle w:val="Heading1"/>
      </w:pPr>
      <w:r>
        <w:t>What the application does</w:t>
      </w:r>
    </w:p>
    <w:p>
      <w:r>
        <w:t>The app collects FYERS quotes, option-chain and historical data, builds a compact set of technical and positioning signals, asks one configured AI provider for a constrained sentiment label, and applies a deterministic decision table. Execute can place intraday market orders and then runs an application-side monitor. Analyze Only uses the same analysis but never enters. Manual Entry skips analysis and sends the selected ATM option order(s) directly through the same market-hours and monitoring path.</w:t>
      </w:r>
    </w:p>
    <w:p>
      <w:r>
        <w:t>This guide describes implemented code. It distinguishes the directional score, the move-size estimate, the technical majority label, and the final CALL/PUT/BOTH/NO_TRADE action because those are separate outputs.</w:t>
      </w:r>
    </w:p>
    <w:p>
      <w:pPr>
        <w:pStyle w:val="Heading2"/>
      </w:pPr>
      <w:r>
        <w:t>Reading map</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Section</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What it answers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Workflow and data</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Which components run, in what order, and which FYERS data they consume.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Indicators and probabilities</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How each OI, VWAP, gap, ORB, CPR, range, and momentum value is calculated.</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Signal breakdown and final direction</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How the dashboard labels are formed and exactly how the final action is chosen.</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 settings, and execution</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What AI sees, what settings change, how orders are submitted and monitored.</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Production example and code map</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 worked calculation from the supplied 7 October log and the functions that implement it.</w:t>
            </w:r>
          </w:p>
        </w:tc>
      </w:tr>
    </w:tbl>
    <w:p>
      <w:pPr>
        <w:spacing w:after="20"/>
      </w:pPr>
    </w:p>
    <w:p>
      <w:pPr>
        <w:pStyle w:val="Heading1"/>
      </w:pPr>
      <w:r>
        <w:t>1. Application workflow</w:t>
      </w:r>
    </w:p>
    <w:p>
      <w:r>
        <w:t>The Flask dashboard handles authentication, settings, user controls, events, and journal display. The trading and analysis decisions are in engine.py and the pure formulas are in option_signal.py and decision.py. The browser does not independently compute the trade recommendation.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Stage</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What runs</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Output or effect</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1. Sign in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Dashboard login uses APP_USERNAME and APP_PASSWORD. FYERS login uses the configured app credentials and callback URL; a daily token may be restored from token.json.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Authenticated dashboard and FYERS client.</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2. Choose inputs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Settings supply index, lots, AI provider, exit controls, and strategy parameters. Execute reads a fresh settings snapshot.</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Configuration for this run.</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3. Build universe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engine.build_option_universe obtains spot quote, nearest option expiry, current strike spacing, ATM and ATM +/- 5 CE/PE contracts, and nearest future.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One spot, one futures proxy if available, and 22 options are subscribed.</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4. Stream market data</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FYERS SymbolUpdate WebSocket fills a shared tick store. REST quote/history calls supply snapshot and history fields where needed.</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LTP, OI, volume, average price, OHLC and candles.</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5. Analyze once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engine._run_analysis computes OI/PCR, OI walls and changes, VWAP, gap, ORB, CPR, expected move, premiums, momentum and volatility confidence.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A structured decision event and dashboard signal breakdown.</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6. Ask AI once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ai_sentiment.get_ai_sentiment calls the selected provider. Gemini uses Tavily snippets; Claude/OpenAI use their provider web-search tools.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POSITIVE, NEGATIVE or NEUTRAL plus a short reason; errors default to NEUTRAL.</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7. Decide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decision.decide_direction applies range, gap, probability, AI-conflict and premium-profitability rules.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CALL, PUT, BOTH or NO_TRADE.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8. Execute or observe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Execute enters the selected ATM leg(s), after a broker market-open check. Analyze Only returns the same direction without order placement. Manual Entry skips analysis.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Live/dry-run position(s), or no trade.</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9. Monitor and journal</w:t>
            </w:r>
          </w:p>
        </w:tc>
        <w:tc>
          <w:tcPr>
            <w:tcW w:type="dxa" w:w="3278"/>
            <w:vAlign w:val="center"/>
            <w:tcMar>
              <w:top w:w="80" w:type="dxa"/>
              <w:start w:w="95" w:type="dxa"/>
              <w:bottom w:w="80" w:type="dxa"/>
              <w:end w:w="95" w:type="dxa"/>
            </w:tcMar>
          </w:tcPr>
          <w:p>
            <w:pPr>
              <w:spacing w:after="0" w:line="240" w:lineRule="auto"/>
            </w:pPr>
            <w:r>
              <w:t>The monitor polls P&amp;L and exit settings while ticks update. The journal stores application recommendations and later spot outcomes; account activity and charges are not synced.</w:t>
            </w:r>
            <w:r>
              <w:rPr>
                <w:rFonts w:ascii="Arial" w:hAnsi="Arial"/>
                <w:b w:val="0"/>
                <w:color w:val="263746"/>
                <w:sz w:val="16"/>
              </w:rPr>
            </w:r>
          </w:p>
        </w:tc>
        <w:tc>
          <w:tcPr>
            <w:tcW w:type="dxa" w:w="3278"/>
            <w:vAlign w:val="center"/>
            <w:tcMar>
              <w:top w:w="80" w:type="dxa"/>
              <w:start w:w="95" w:type="dxa"/>
              <w:bottom w:w="80" w:type="dxa"/>
              <w:end w:w="95" w:type="dxa"/>
            </w:tcMar>
          </w:tcPr>
          <w:p>
            <w:pPr>
              <w:spacing w:after="0" w:line="240" w:lineRule="auto"/>
            </w:pPr>
            <w:r>
              <w:t>Application-side exit orders and persistent signal/outcome records.</w:t>
            </w:r>
            <w:r>
              <w:rPr>
                <w:rFonts w:ascii="Arial" w:hAnsi="Arial"/>
                <w:b w:val="0"/>
                <w:color w:val="263746"/>
                <w:sz w:val="16"/>
              </w:rPr>
            </w:r>
          </w:p>
        </w:tc>
      </w:tr>
    </w:tbl>
    <w:p>
      <w:pPr>
        <w:spacing w:after="20"/>
      </w:pPr>
    </w:p>
    <w:p>
      <w:pPr>
        <w:pStyle w:val="Heading2"/>
      </w:pPr>
      <w:r>
        <w:t>Dashboard controls</w:t>
      </w:r>
    </w:p>
    <w:p>
      <w:pPr>
        <w:pStyle w:val="ListBullet"/>
        <w:spacing w:after="40"/>
      </w:pPr>
      <w:r>
        <w:t>Login authorizes the FYERS API. It does not start analysis or place an order.</w:t>
      </w:r>
    </w:p>
    <w:p>
      <w:pPr>
        <w:pStyle w:val="ListBullet"/>
        <w:spacing w:after="40"/>
      </w:pPr>
      <w:r>
        <w:t>Execute performs a full analysis and may place a real order when the app is in LIVE mode and the decision is not NO_TRADE.</w:t>
      </w:r>
    </w:p>
    <w:p>
      <w:pPr>
        <w:pStyle w:val="ListBullet"/>
        <w:spacing w:after="40"/>
      </w:pPr>
      <w:r>
        <w:t>Analyze Only runs the same _run_analysis path but never calls enter_positions, even in LIVE mode.</w:t>
      </w:r>
    </w:p>
    <w:p>
      <w:pPr>
        <w:pStyle w:val="ListBullet"/>
        <w:spacing w:after="40"/>
      </w:pPr>
      <w:r>
        <w:t>Manual Entry selects CALL, PUT or BOTH directly; it skips OI/VWAP/AI decision logic, but uses ATM selection, live-market check, and the same monitor.</w:t>
      </w:r>
    </w:p>
    <w:p>
      <w:pPr>
        <w:pStyle w:val="ListBullet"/>
        <w:spacing w:after="40"/>
      </w:pPr>
      <w:r>
        <w:t>Stop signals the active monitor to square off its positions. It is not an account-wide cancel-all action.</w:t>
      </w:r>
    </w:p>
    <w:p>
      <w:pPr>
        <w:pStyle w:val="ListBullet"/>
        <w:spacing w:after="40"/>
      </w:pPr>
      <w:r>
        <w:t>The dashboard mode badge is a separate DRY RUN/LIVE switch. The mode is persisted to settings.json and cannot be changed while a run is active.</w:t>
      </w:r>
    </w:p>
    <w:p>
      <w:pPr>
        <w:pStyle w:val="Heading1"/>
      </w:pPr>
      <w:r>
        <w:t>2. Market data and instrument selection</w:t>
      </w:r>
    </w:p>
    <w:p>
      <w:r>
        <w:t>The supported index values are NIFTY, BANKNIFTY, FINNIFTY and MIDCPNIFTY on NSE, plus SENSEX on BSE. The app uses the corresponding FYERS index symbol and exchange-specific derivatives master for spot quotes, option chains and futures. The nearest expiry reported by the chain is selected; the strike step is inferred from available chain strikes rather than hardcoded. SENSEX uses BSE index/derivatives data, while the other supported indices use NSE. India VIX remains a shared proxy and is not SENSEX-specific.</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Input</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Source and use</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Spot</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FYERS index quote: current LTP and OHLC open/previous close. Sets ATM, current location, gap and realized movement.</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Option chain</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Nearest expiry CE/PE symbols, strike prices, lot size and chain snapshot OI/volume. Engine keeps ATM +/- 5 strikes (11 strikes, 22 contracts).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Option ticks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Full-mode market WebSocket subscription for option LTP, OI and traded volume. Missing ticker OI triggers one REST quote batch; if quote OI is zero, the already-captured chain snapshot is used.</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Historical candles</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Daily spot candles for recent completed sessions; 1-minute spot candles for the opening range; daily option candles with OI for yesterday-close OI comparisons.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Futures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Nearest expiry future is used as a volume-bearing proxy for VWAP because the index itself has no traded volume.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India VIX</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 separate FYERS quote shared across supported indices. It estimates move magnitude, not direction.</w:t>
            </w:r>
          </w:p>
        </w:tc>
      </w:tr>
    </w:tbl>
    <w:p>
      <w:pPr>
        <w:spacing w:after="20"/>
      </w:pPr>
    </w:p>
    <w:tbl>
      <w:tblPr>
        <w:tblW w:type="auto" w:w="0"/>
        <w:jc w:val="center"/>
        <w:tblLook w:firstColumn="1" w:firstRow="1" w:lastColumn="0" w:lastRow="0" w:noHBand="0" w:noVBand="1" w:val="04A0"/>
      </w:tblPr>
      <w:tblGrid>
        <w:gridCol w:w="9835"/>
      </w:tblGrid>
      <w:tr>
        <w:tc>
          <w:tcPr>
            <w:tcW w:type="dxa" w:w="9835"/>
            <w:shd w:fill="EAF2F6"/>
            <w:tcMar>
              <w:top w:w="130" w:type="dxa"/>
              <w:start w:w="150" w:type="dxa"/>
              <w:bottom w:w="130" w:type="dxa"/>
              <w:end w:w="150" w:type="dxa"/>
            </w:tcMar>
          </w:tcPr>
          <w:p>
            <w:pPr>
              <w:spacing w:after="40"/>
            </w:pPr>
            <w:r/>
            <w:r>
              <w:rPr>
                <w:b/>
                <w:color w:val="117C83"/>
              </w:rPr>
              <w:t>Data fallback observed in production</w:t>
            </w:r>
          </w:p>
          <w:p>
            <w:pPr>
              <w:spacing w:after="0" w:line="240" w:lineRule="auto"/>
            </w:pPr>
            <w:r>
              <w:rPr>
                <w:sz w:val="18"/>
              </w:rPr>
              <w:t>The 7 October production file repeatedly reported 22 option contracts missing OI from the ticker and then recovered 22/22 from the option-chain snapshot (FYERS quote OI=0, snapshot OI=22, still missing=0). The fallback is therefore working for the logged runs; it does not mean quote() itself supplied the OI.</w:t>
            </w:r>
          </w:p>
        </w:tc>
      </w:tr>
    </w:tbl>
    <w:p>
      <w:pPr>
        <w:spacing w:after="20"/>
      </w:pPr>
    </w:p>
    <w:p>
      <w:pPr>
        <w:pStyle w:val="Heading1"/>
      </w:pPr>
      <w:r>
        <w:t>3. Technical and options analysis</w:t>
      </w:r>
    </w:p>
    <w:p>
      <w:pPr>
        <w:pStyle w:val="Heading2"/>
      </w:pPr>
      <w:r>
        <w:t>3.1 Open interest and put call ratios</w:t>
      </w:r>
    </w:p>
    <w:p>
      <w:r>
        <w:t>gather_strike_oi builds call and put OI for each tracked strike. The raw, whole-window PCR is total put OI divided by total call OI. A separate proximity-weighted PCR determines the OI Bias and one of the probability nudges. Nearby strikes carry more weight; the window-edge strikes can receive zero weight.</w:t>
      </w:r>
    </w:p>
    <w:p>
      <w:pPr>
        <w:pStyle w:val="CodeBlock"/>
        <w:keepLines/>
        <w:shd w:fill="EAF2F6"/>
      </w:pPr>
      <w:r>
        <w:t>proximity(strike) = max(0, 1 - |strike - spot| / (5 x strike_interval))</w:t>
        <w:br/>
        <w:t>weighted_OI = raw_OI x proximity x OI_change_multiplier (only where a fresh ratio exists)</w:t>
        <w:br/>
        <w:t>real_PCR = sum(raw PE OI) / sum(raw CE OI)</w:t>
        <w:br/>
        <w:t>weighted_PCR = sum(weighted PE OI) / sum(weighted CE OI)</w:t>
      </w:r>
    </w:p>
    <w:p>
      <w:r>
        <w:t>For the weighted OI change multiplier, today’s OI is divided by yesterday’s closing OI for that exact contract. A missing ratio leaves the strike at its proximity weight. A present ratio is clamped to [1 - oi_change_clamp, 1 + oi_change_clamp]. The raw PCR remains unweighted and is retained for display/comparison.</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Weighted PCR condition</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OI Bias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weighted_PCR &gt; 1 + pcr_threshold</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BULLISH</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weighted_PCR &lt; 1 - pcr_threshold</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BEARISH</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Between those bounds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NEUTRAL</w:t>
            </w:r>
          </w:p>
        </w:tc>
      </w:tr>
    </w:tbl>
    <w:p>
      <w:pPr>
        <w:spacing w:after="20"/>
      </w:pPr>
    </w:p>
    <w:p>
      <w:r>
        <w:t>OI interpretation is the project’s rule: stronger put OI is treated as support and bullish; stronger call OI is treated as resistance and bearish. This is a positioning heuristic, not proof of who opened the positions or whether they are hedged.</w:t>
      </w:r>
    </w:p>
    <w:p>
      <w:pPr>
        <w:pStyle w:val="Heading2"/>
      </w:pPr>
      <w:r>
        <w:t>3.2 Resistance and support walls</w:t>
      </w:r>
    </w:p>
    <w:p>
      <w:r>
        <w:t>compute_oi_walls scans the tracked strikes above ATM and chooses the strike with the largest call OI as resistance. Below ATM it chooses the strike with the largest put OI as support. The probability base is not the raw PCR. It compares these two wall contracts after weighting each wall by proximity and, when available, fresh OI change.</w:t>
      </w:r>
    </w:p>
    <w:p>
      <w:pPr>
        <w:pStyle w:val="CodeBlock"/>
        <w:keepLines/>
        <w:shd w:fill="EAF2F6"/>
      </w:pPr>
      <w:r>
        <w:t>wall_weight = wall_OI x max(0, 1 - distance_to_spot / (5 x strike_interval))</w:t>
        <w:br/>
        <w:t xml:space="preserve">              x clamp(today_OI / yesterday_close_OI, 1 - clamp, 1 + clamp)</w:t>
        <w:br/>
        <w:t>base_upside = weighted_support / (weighted_support + weighted_resistance)</w:t>
        <w:br/>
        <w:t>base_downside = 1 - base_upside</w:t>
      </w:r>
    </w:p>
    <w:p>
      <w:r>
        <w:t>If both weighted walls total zero or are unavailable, the base is neutral 50/50. Because the formula is a normalized ratio of selected wall sizes and distances, the output can be strongly tilted by a nearby wall. It is not calculated from a fitted price distribution.</w:t>
      </w:r>
    </w:p>
    <w:p>
      <w:pPr>
        <w:pStyle w:val="Heading2"/>
      </w:pPr>
      <w:r>
        <w:t>3.3 Fresh ATM OI change</w:t>
      </w:r>
    </w:p>
    <w:p>
      <w:r>
        <w:t>The ATM call and ATM put each get a today-OI / yesterday-close-OI ratio. Their difference is compared with atm_oi_change_threshold. If put ratio minus call ratio exceeds the threshold, ATM OI Bias is BULLISH; if it is below the negative threshold, it is BEARISH; otherwise NEUTRAL. Either missing ratio yields NEUTRAL. This is a distinct signal from broader PCR and OTM walls.</w:t>
      </w:r>
    </w:p>
    <w:p>
      <w:pPr>
        <w:pStyle w:val="Heading2"/>
      </w:pPr>
      <w:r>
        <w:t>3.4 VWAP</w:t>
      </w:r>
    </w:p>
    <w:p>
      <w:r>
        <w:t>get_vwap first reads average_price from the nearest future tick, then its REST quote, and finally attempts a volume-weighted typical-price calculation from future minute candles. The index’s current spot is compared with that futures-derived VWAP. compute_vwap_bias uses a fixed 0.05% neutral band: above is bullish, below bearish, inside neutral. VWAP lookup/API errors degrade to NEUTRAL. The comparison crosses index spot with futures VWAP, so the small futures/index basis is present in the input.</w:t>
      </w:r>
    </w:p>
    <w:p>
      <w:pPr>
        <w:pStyle w:val="Heading2"/>
      </w:pPr>
      <w:r>
        <w:t>3.5 Opening range breakout</w:t>
      </w:r>
    </w:p>
    <w:p>
      <w:r>
        <w:t>get_orb_bias uses the first orb_minutes of 1-minute candles on the index, with the interval [09:15 IST, 09:15 + orb_minutes). Candle timestamps are converted from UTC to IST and filtered to that range. Current spot above the range high is BULLISH; below the low is BEARISH; inside is NEUTRAL. Before the range has finished, or if valid candles are unavailable, the result is NEUTRAL. Default orb_minutes is 15, so the opening range ends at 09:30 IST.</w:t>
      </w:r>
    </w:p>
    <w:p>
      <w:pPr>
        <w:pStyle w:val="Heading2"/>
      </w:pPr>
      <w:r>
        <w:t>3.6 Gap and recent daily range</w:t>
      </w:r>
    </w:p>
    <w:p>
      <w:r>
        <w:t>The average recent daily range is the arithmetic mean of high minus low over the last range_lookback_days completed daily candles. The opening gap is today_open minus yesterday_close. The absolute gap is considered large only when it is strictly greater than average_range x gap_threshold_factor. The gap’s sign contributes a fixed probability nudge (+5 percentage points for a positive gap, -5 for a negative gap, zero if unavailable/zero); its magnitude does not scale that nudge. The separate large_gap flag changes the decision to BOTH after the small-range filter.</w:t>
      </w:r>
    </w:p>
    <w:p>
      <w:pPr>
        <w:pStyle w:val="Heading2"/>
      </w:pPr>
      <w:r>
        <w:t>3.7 Central Pivot Range</w:t>
      </w:r>
    </w:p>
    <w:p>
      <w:pPr>
        <w:pStyle w:val="CodeBlock"/>
        <w:keepLines/>
        <w:shd w:fill="EAF2F6"/>
      </w:pPr>
      <w:r>
        <w:t>pivot = (previous_high + previous_low + previous_close) / 3</w:t>
        <w:br/>
        <w:t>BC = (previous_high + previous_low) / 2</w:t>
        <w:br/>
        <w:t>TC = 2 x pivot - BC</w:t>
        <w:br/>
        <w:t>CPR_width = |TC - BC|</w:t>
        <w:br/>
        <w:t>CPR_width_ratio = CPR_width / recent_average_high_low_range</w:t>
      </w:r>
    </w:p>
    <w:p>
      <w:r>
        <w:t>CPR has no direct direction vote. It contributes only to Volatility Confidence through a narrowness bonus. Its normalization uses 1/3, the formula’s maximum CPR width relative to the prior day’s own high-low range.</w:t>
      </w:r>
    </w:p>
    <w:p>
      <w:pPr>
        <w:pStyle w:val="Heading2"/>
      </w:pPr>
      <w:r>
        <w:t>3.8 Expected move and momentum</w:t>
      </w:r>
    </w:p>
    <w:p>
      <w:pPr>
        <w:pStyle w:val="CodeBlock"/>
        <w:keepLines/>
        <w:shd w:fill="EAF2F6"/>
      </w:pPr>
      <w:r>
        <w:t>VIX_move = today_open x (India_VIX / 100) x sqrt(1 / 252)</w:t>
        <w:br/>
        <w:t>historical_OC = mean(|daily_close - daily_open|) over the last historical_range_lookback_days completed days</w:t>
        <w:br/>
        <w:t>expected_move = (VIX_move + historical_OC) / 2, when both exist; otherwise VIX_move</w:t>
      </w:r>
    </w:p>
    <w:p>
      <w:r>
        <w:t>The expected range is anchored to today’s open. The displayed targets are open +/- expected_move. The 252-day scaling produces a one-standard-deviation-style daily magnitude estimate; it is not a guaranteed bound. historical_OC is an average realized open-to-close movement, not high-low range. If history is missing, VIX alone is used. If VIX is missing, expected_move is unavailable even if historical candles exist.</w:t>
      </w:r>
    </w:p>
    <w:p>
      <w:pPr>
        <w:pStyle w:val="CodeBlock"/>
        <w:keepLines/>
        <w:shd w:fill="EAF2F6"/>
      </w:pPr>
      <w:r>
        <w:t>moved_from_open = live_spot - today_open</w:t>
        <w:br/>
        <w:t>used_fraction = |moved_from_open| / expected_move</w:t>
        <w:br/>
        <w:t>if min_fraction &lt;= used_fraction &lt;= max_fraction: direction follows sign(moved_from_open)</w:t>
        <w:br/>
        <w:t>otherwise momentum_bias = NEUTRAL</w:t>
      </w:r>
    </w:p>
    <w:p>
      <w:r>
        <w:t>With default momentum bounds 0.25 and 0.65, movement below 25% of expected range is treated as noise; movement within 25%-65% contributes a directional momentum signal; beyond 65% is excluded from directional momentum to avoid chasing. The same used_fraction still contributes to the separate volatility-confidence score. If a user changes the minimum to zero and movement is exactly zero, the current sign branch classifies it as BEARISH; this is an edge case in the implementation.</w:t>
      </w:r>
    </w:p>
    <w:p>
      <w:pPr>
        <w:pStyle w:val="Heading2"/>
      </w:pPr>
      <w:r>
        <w:t>3.9 ATM premium profitability test</w:t>
      </w:r>
    </w:p>
    <w:p>
      <w:r>
        <w:t>The engine reads the live ATM call and put premiums from ticks, falling back to REST quote if needed. If either required premium is unavailable, the corresponding side cannot pass the profitability test. A safety multiplier turns the premium into required underlying points:</w:t>
      </w:r>
    </w:p>
    <w:p>
      <w:pPr>
        <w:pStyle w:val="CodeBlock"/>
        <w:keepLines/>
        <w:shd w:fill="EAF2F6"/>
      </w:pPr>
      <w:r>
        <w:t>required_move_call = ATM_call_premium x profit_margin_factor</w:t>
        <w:br/>
        <w:t>required_move_put  = ATM_put_premium x profit_margin_factor</w:t>
        <w:br/>
        <w:t>required_move_both = (ATM_call_premium + ATM_put_premium) x profit_margin_factor</w:t>
      </w:r>
    </w:p>
    <w:p>
      <w:r>
        <w:t>The app compares expected_move to these amounts. The UI description says VIX-implied, but the current code passes the blended expected_move when history is available. This is a rough breakeven screen that assumes a one-for-one underlying point move relative to premium; it does not model option delta, gamma, volatility changes, time decay, bid/ask, slippage, or transaction costs.</w:t>
      </w:r>
    </w:p>
    <w:p>
      <w:pPr>
        <w:pStyle w:val="Heading1"/>
      </w:pPr>
      <w:r>
        <w:t>4. Probability of Move calculation</w:t>
      </w:r>
    </w:p>
    <w:tbl>
      <w:tblPr>
        <w:tblW w:type="auto" w:w="0"/>
        <w:jc w:val="center"/>
        <w:tblLook w:firstColumn="1" w:firstRow="1" w:lastColumn="0" w:lastRow="0" w:noHBand="0" w:noVBand="1" w:val="04A0"/>
      </w:tblPr>
      <w:tblGrid>
        <w:gridCol w:w="9835"/>
      </w:tblGrid>
      <w:tr>
        <w:tc>
          <w:tcPr>
            <w:tcW w:type="dxa" w:w="9835"/>
            <w:shd w:fill="FFF4E5"/>
            <w:tcMar>
              <w:top w:w="130" w:type="dxa"/>
              <w:start w:w="150" w:type="dxa"/>
              <w:bottom w:w="130" w:type="dxa"/>
              <w:end w:w="150" w:type="dxa"/>
            </w:tcMar>
          </w:tcPr>
          <w:p>
            <w:pPr>
              <w:spacing w:after="40"/>
            </w:pPr>
            <w:r/>
            <w:r>
              <w:rPr>
                <w:b/>
                <w:color w:val="B7791F"/>
              </w:rPr>
              <w:t>Name versus meaning</w:t>
            </w:r>
          </w:p>
          <w:p>
            <w:pPr>
              <w:spacing w:after="0" w:line="240" w:lineRule="auto"/>
            </w:pPr>
            <w:r>
              <w:rPr>
                <w:sz w:val="18"/>
              </w:rPr>
              <w:t>The “Probability of Move” card is a directional split (upside versus downside) produced by deterministic rules. The code does not estimate a calibrated statistical chance. Expected Move is a separate magnitude estimate in index points, and Volatility Confidence is a separate 0–100 magnitude gauge.</w:t>
            </w:r>
          </w:p>
        </w:tc>
      </w:tr>
    </w:tbl>
    <w:p>
      <w:pPr>
        <w:spacing w:after="20"/>
      </w:pPr>
    </w:p>
    <w:p>
      <w:pPr>
        <w:pStyle w:val="Heading2"/>
      </w:pPr>
      <w:r>
        <w:t>4.1 Base probability from OI walls</w:t>
      </w:r>
    </w:p>
    <w:p>
      <w:r>
        <w:t>First, the engine calculates base_upside from the weighted support and resistance walls. For each wall, distance to spot reduces relevance linearly across the tracked ATM +/- 5-strike width. Fresh OI build-up increases wall weight up to the configured clamp; unwinding reduces it down to the lower clamp. If no wall evidence is available, the base is 50/50.</w:t>
      </w:r>
    </w:p>
    <w:p>
      <w:pPr>
        <w:pStyle w:val="Heading2"/>
      </w:pPr>
      <w:r>
        <w:t>4.2 Seven fixed probability nudges</w:t>
      </w:r>
    </w:p>
    <w:p>
      <w:r>
        <w:t>After the base, combine_probability_signals counts seven independent rule outputs. Each bullish item adds one unit, each bearish item subtracts one, neutral/unavailable adds zero. One unit equals 0.05 (five percentage points), hardcoded in the function; there is no UI weight for these directional votes.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Input to score</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Bullish nudge</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Bearish nudge</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Neutral behavior</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Proximity/OI-change weighted PCR</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Above 1 + pcr_threshold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Below 1 - pcr_threshold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Within threshold band or no data</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VWAP bias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Spot above VWAP neutral band</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Spot below VWAP neutral band</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Within band or unavailable</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ORB bias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Spot above opening-range high</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Spot below opening-range low</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Inside range or unavailable</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Opening gap sign</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today_open - prior_close &gt; 0</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today_open - prior_close &lt; 0</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Zero or missing</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ATM OI change bias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Put OI ratio outpaces call by threshold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Call OI ratio outpaces put by threshold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Difference inside threshold or missing</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 sentiment</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POSITIVE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NEGATIVE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NEUTRAL or safe default</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Momentum bias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Up move used fraction inside configured band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Down move used fraction inside band</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Below min, above max, missing expected move</w:t>
            </w:r>
          </w:p>
        </w:tc>
      </w:tr>
    </w:tbl>
    <w:p>
      <w:pPr>
        <w:spacing w:after="20"/>
      </w:pPr>
    </w:p>
    <w:p>
      <w:pPr>
        <w:pStyle w:val="CodeBlock"/>
        <w:keepLines/>
        <w:shd w:fill="EAF2F6"/>
      </w:pPr>
      <w:r>
        <w:t>net = sum(+1 for bullish, -1 for bearish, 0 for neutral across the seven inputs)</w:t>
        <w:br/>
        <w:t>upside_probability = clamp(base_upside + net x 0.05, 0.05, 0.95)</w:t>
        <w:br/>
        <w:t>downside_probability = 1 - upside_probability</w:t>
      </w:r>
    </w:p>
    <w:p>
      <w:r>
        <w:t>Thus the maximum possible adjustment is +/-35 percentage points before clamping. The OI Bias chip is the display label for the weighted-PCR classification; the score uses the weighted PCR ratio itself with the same threshold. technical_bias is not an eighth nudge and does not directly determine the action. VIX and Volatility Confidence also do not directly nudge direction.</w:t>
      </w:r>
    </w:p>
    <w:p>
      <w:pPr>
        <w:pStyle w:val="Heading2"/>
      </w:pPr>
      <w:r>
        <w:t>4.3 Volatility Confidence is separate</w:t>
      </w:r>
    </w:p>
    <w:p>
      <w:r>
        <w:t>compute_volatility_confidence measures the likelihood/magnitude context for a large move, independent of which direction wins. It is included in the AI context but not in Probability of Move or the decision thresholds.</w:t>
      </w:r>
    </w:p>
    <w:p>
      <w:pPr>
        <w:pStyle w:val="CodeBlock"/>
        <w:keepLines/>
        <w:shd w:fill="EAF2F6"/>
      </w:pPr>
      <w:r>
        <w:t>confidence = (expected_move / avg_high_low_range) x ratio_scale</w:t>
        <w:br/>
        <w:t xml:space="preserve">           + ORB bonus, if ORB is non-neutral</w:t>
        <w:br/>
        <w:t xml:space="preserve">           + min(momentum_scale, max(0, used_fraction) x momentum_scale)</w:t>
        <w:br/>
        <w:t xml:space="preserve">           + mean(clamp(oi_change_clamp, |OI_change_ratio - 1|)) / oi_change_clamp x OI_scale</w:t>
        <w:br/>
        <w:t xml:space="preserve">           + max(0, 1 - CPR_width_ratio / (1/3)) x CPR_scale</w:t>
        <w:br/>
        <w:t>final confidence = clamp(confidence, 0, 100)</w:t>
      </w:r>
    </w:p>
    <w:p>
      <w:r>
        <w:t>The OI term uses change magnitude in either direction: both build-up and unwind can raise the magnitude gauge. It does not classify direction. If expected_move or the average range is unavailable, confidence is None. The 7 October production example logs 81% even though momentum_bias is NEUTRAL, because the move had used 81% of expected range and that fraction still increases this separate gauge.</w:t>
      </w:r>
    </w:p>
    <w:p>
      <w:pPr>
        <w:pStyle w:val="Heading1"/>
      </w:pPr>
      <w:r>
        <w:t>5. Signal Breakdown and final direction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Dashboard chip</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Implementation meaning</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Direct role in final action</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OI Bias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Weighted-PCR label; raw PCR is shown for transparency.</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Weighted PCR contributes one +/-5 pp nudge. The label itself is not a separate vote.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ATM OI</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Fresh ATM put-versus-call OI change classification.</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One +/-5 pp nudge.</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VWAP Bias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Index spot relative to nearest future VWAP.</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One +/-5 pp nudge and part of technical majority.</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ORB</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Index spot relative to today’s opening range.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One +/-5 pp nudge and part of technical majority.</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Technical</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Majority of OI Bias, VWAP Bias and ORB; 2-of-3 needed for a side.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Informational only for final choice. It does not replace the probability score.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 Sentiment</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Provider response or neutral fallback.</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One +/-5 pp nudge and a conflict filter at directional thresholds.</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Momentum</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Realized spot movement fraction within configured bounds.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One +/-5 pp nudge when in band.</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Large Gap</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Absolute opening gap above average range x gap factor.</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 filter/strategy selector: after the small-range gate it returns BOTH, regardless of probability.</w:t>
            </w:r>
          </w:p>
        </w:tc>
      </w:tr>
    </w:tbl>
    <w:p>
      <w:pPr>
        <w:spacing w:after="20"/>
      </w:pPr>
    </w:p>
    <w:p>
      <w:r>
        <w:t>The majority technical label is computed by option_signal.combine_bias: at least two bullish votes and more bullish than bearish gives BULLISH; similarly for bearish; otherwise NEUTRAL. It is useful context, but the final action uses the combined probability and filters below.</w:t>
      </w:r>
    </w:p>
    <w:p>
      <w:pPr>
        <w:pStyle w:val="Heading2"/>
      </w:pPr>
      <w:r>
        <w:t>Exact decision order in decision.decide_direction</w:t>
      </w:r>
    </w:p>
    <w:p>
      <w:pPr>
        <w:pStyle w:val="ListNumber"/>
        <w:spacing w:after="40"/>
      </w:pPr>
      <w:r>
        <w:t>If range_too_tight is true, return NO_TRADE. The code compares expected_move (the blend if available, otherwise VIX-only) with min_expected_move_points. This check runs first.</w:t>
      </w:r>
    </w:p>
    <w:p>
      <w:pPr>
        <w:pStyle w:val="ListNumber"/>
        <w:spacing w:after="40"/>
      </w:pPr>
      <w:r>
        <w:t>Otherwise, if large_gap is true, return BOTH. This is unconditional in the decision function; it precedes premium profitability checks. A gap does not indicate whether continuation or reversal is more likely.</w:t>
      </w:r>
    </w:p>
    <w:p>
      <w:pPr>
        <w:pStyle w:val="ListNumber"/>
        <w:spacing w:after="40"/>
      </w:pPr>
      <w:r>
        <w:t>Compute call_can_profit, put_can_profit and both_can_profit by checking expected_move &gt;= the matching required move. Missing expected move or premium means that check is false.</w:t>
      </w:r>
    </w:p>
    <w:p>
      <w:pPr>
        <w:pStyle w:val="ListNumber"/>
        <w:spacing w:after="40"/>
      </w:pPr>
      <w:r>
        <w:t>If upside_probability &gt;= call_probability_threshold: return CALL unless AI is NEGATIVE. If AI is NEGATIVE, return BOTH only when the combined premium threshold passes; otherwise NO_TRADE.</w:t>
      </w:r>
    </w:p>
    <w:p>
      <w:pPr>
        <w:pStyle w:val="ListNumber"/>
        <w:spacing w:after="40"/>
      </w:pPr>
      <w:r>
        <w:t>If upside_probability &lt;= put_probability_threshold: return PUT unless AI is POSITIVE. If AI is POSITIVE, return BOTH only when the combined premium threshold passes; otherwise NO_TRADE.</w:t>
      </w:r>
    </w:p>
    <w:p>
      <w:pPr>
        <w:pStyle w:val="ListNumber"/>
        <w:spacing w:after="40"/>
      </w:pPr>
      <w:r>
        <w:t>Inside the probability band: return BOTH only if expected_move clears the combined premium threshold; otherwise NO_TRADE.</w:t>
      </w:r>
    </w:p>
    <w:p>
      <w:r>
        <w:t>With defaults, CALL requires upside &gt;=55%, PUT requires upside &lt;=45%; the middle 45%-55% is the no-direction band. Because `put_threshold &lt; call_threshold` is validated, the thresholds cannot overlap in the decision function.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Final code action</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Market interpretation</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Order intent</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CALL</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Bullish directional decision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Buy ATM CE.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PUT</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Bearish directional decision</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Buy ATM PE. The engine does not short the underlying.</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BOTH</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Direction uncertain or large-gap/conflict case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Buy ATM CE and ATM PE (long straddle).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NO_TRADE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Neutral, too-small range, insufficient move, failed filter, or unavailable profit evidence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 automated entry.</w:t>
            </w:r>
          </w:p>
        </w:tc>
      </w:tr>
    </w:tbl>
    <w:p>
      <w:pPr>
        <w:spacing w:after="20"/>
      </w:pPr>
    </w:p>
    <w:p>
      <w:pPr>
        <w:pStyle w:val="Heading1"/>
      </w:pPr>
      <w:r>
        <w:t>6. Role of AI</w:t>
      </w:r>
    </w:p>
    <w:p>
      <w:r>
        <w:t>AI is called once per full Execute or Analyze Only analysis pass, after quantitative values have been calculated and before the final probability nudges. The monitoring loop does not call AI. AI returns only a sentiment category and a short reason; the code parses that JSON and falls back to NEUTRAL on missing configuration, network failure, HTTP failure or invalid output. There is no automatic provider-to-provider failover.</w:t>
      </w:r>
    </w:p>
    <w:p>
      <w:pPr>
        <w:pStyle w:val="Heading2"/>
      </w:pPr>
      <w:r>
        <w:t>What the prompt receives</w:t>
      </w:r>
    </w:p>
    <w:p>
      <w:pPr>
        <w:pStyle w:val="ListBullet"/>
        <w:spacing w:after="40"/>
      </w:pPr>
      <w:r>
        <w:t>A fixed request to weigh global/Asian market cues, crude oil, USD/INR, scheduled events, constituent/Indian market news and the selected index’s context.</w:t>
      </w:r>
    </w:p>
    <w:p>
      <w:pPr>
        <w:pStyle w:val="ListBullet"/>
        <w:spacing w:after="40"/>
      </w:pPr>
      <w:r>
        <w:t>For Gemini, a single Tavily Basic search request: topic=news, days=1, max_results=5, query dated with the current IST date. Returned title, URL, publication date and compact content are appended as untrusted reference data. Google Search grounding is disabled.</w:t>
      </w:r>
    </w:p>
    <w:p>
      <w:pPr>
        <w:pStyle w:val="ListBullet"/>
        <w:spacing w:after="40"/>
      </w:pPr>
      <w:r>
        <w:t>Quantitative context, when expected_move exists: selected index spot, India VIX, expected move, nearest support/resistance and distances, their OI-change ratios, ORB bias, realized points from open, used fraction/momentum bias, Volatility Confidence and the OI-wall base odds. The AI context does not include the final nudged Probability of Move.</w:t>
      </w:r>
    </w:p>
    <w:p>
      <w:pPr>
        <w:pStyle w:val="ListBullet"/>
        <w:spacing w:after="40"/>
      </w:pPr>
      <w:r>
        <w:t>Optional custom_ai_note, appended as an extra factor. It does not replace the fixed instructions or output schema, but it is still free text sent to the provider and can influence the sentiment response.</w:t>
      </w:r>
    </w:p>
    <w:p>
      <w:pPr>
        <w:pStyle w:val="Heading2"/>
      </w:pPr>
      <w:r>
        <w:t>Provider behavior</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Provider</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Current implementation</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Gemini</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Gemini generateContent API. Tavily supplies search context; Gemini grounding is off. Tavily failure does not stop Gemini; it continues without live-news results.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Claude</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Anthropic Messages API with its web_search tool.</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OpenAI</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OpenAI Responses API with web_search and strict JSON schema.</w:t>
            </w:r>
          </w:p>
        </w:tc>
      </w:tr>
    </w:tbl>
    <w:p>
      <w:pPr>
        <w:spacing w:after="20"/>
      </w:pPr>
    </w:p>
    <w:p>
      <w:r>
        <w:t>Regardless of provider, POSITIVE/BULLISH-equivalent output adds one +5 pp vote; NEGATIVE adds -5 pp; NEUTRAL adds zero. AI can also prevent a one-sided CALL/PUT if its sentiment directly conflicts with the threshold direction, but only changes that outcome to BOTH if the combined-premium test passes; otherwise the result is NO_TRADE. AI does not choose the index, strike, quantity, lot count, order type or exit level.</w:t>
      </w:r>
    </w:p>
    <w:tbl>
      <w:tblPr>
        <w:tblW w:type="auto" w:w="0"/>
        <w:jc w:val="center"/>
        <w:tblLook w:firstColumn="1" w:firstRow="1" w:lastColumn="0" w:lastRow="0" w:noHBand="0" w:noVBand="1" w:val="04A0"/>
      </w:tblPr>
      <w:tblGrid>
        <w:gridCol w:w="9835"/>
      </w:tblGrid>
      <w:tr>
        <w:tc>
          <w:tcPr>
            <w:tcW w:type="dxa" w:w="9835"/>
            <w:shd w:fill="FFF4E5"/>
            <w:tcMar>
              <w:top w:w="130" w:type="dxa"/>
              <w:start w:w="150" w:type="dxa"/>
              <w:bottom w:w="130" w:type="dxa"/>
              <w:end w:w="150" w:type="dxa"/>
            </w:tcMar>
          </w:tcPr>
          <w:p>
            <w:pPr>
              <w:spacing w:after="40"/>
            </w:pPr>
            <w:r/>
            <w:r>
              <w:rPr>
                <w:b/>
                <w:color w:val="B7791F"/>
              </w:rPr>
              <w:t>Evidence is not accuracy</w:t>
            </w:r>
          </w:p>
          <w:p>
            <w:pPr>
              <w:spacing w:after="0" w:line="240" w:lineRule="auto"/>
            </w:pPr>
            <w:r>
              <w:rPr>
                <w:sz w:val="18"/>
              </w:rPr>
              <w:t>HTTP 200 means Tavily/Gemini answered; it does not validate the news facts or sentiment. The production log had some undated or unrelated search results. The application does not independently verify each claim or assign calibrated AI confidence.</w:t>
            </w:r>
          </w:p>
        </w:tc>
      </w:tr>
    </w:tbl>
    <w:p>
      <w:pPr>
        <w:spacing w:after="20"/>
      </w:pPr>
    </w:p>
    <w:p>
      <w:pPr>
        <w:pStyle w:val="Heading1"/>
      </w:pPr>
      <w:r>
        <w:t>7. Trade entry and order handling</w:t>
      </w:r>
    </w:p>
    <w:p>
      <w:r>
        <w:t>For automated execution, a non-NO_TRADE direction proceeds to enter_positions. Before any entry, the client asks FYERS whether the selected derivatives segment is OPEN. It checks NSE F&amp;O for NSE indices and BSE F&amp;O for SENSEX; if status cannot be verified or is not OPEN, entry is blocked. This guard also applies to Manual Entry. DRY RUN logs a simulated order; LIVE sends a FYERS market order with INTRADAY product. No limit-price strategy is implemented.</w:t>
      </w:r>
    </w:p>
    <w:p>
      <w:pPr>
        <w:pStyle w:val="ListBullet"/>
        <w:spacing w:after="40"/>
      </w:pPr>
      <w:r>
        <w:t>Instrument: ATM option(s) from the selected index and nearest expiry.</w:t>
      </w:r>
    </w:p>
    <w:p>
      <w:pPr>
        <w:pStyle w:val="ListBullet"/>
        <w:spacing w:after="40"/>
      </w:pPr>
      <w:r>
        <w:t>Quantity: configured lots multiplied by the lot size in FYERS’s current symbol master; lot size is not hardcoded.</w:t>
      </w:r>
    </w:p>
    <w:p>
      <w:pPr>
        <w:pStyle w:val="ListBullet"/>
        <w:spacing w:after="40"/>
      </w:pPr>
      <w:r>
        <w:t>CALL buys CE; PUT buys PE; BOTH buys both CE and PE. The code is long-options only and has no sell-to-open strategy.</w:t>
      </w:r>
    </w:p>
    <w:p>
      <w:pPr>
        <w:pStyle w:val="ListBullet"/>
        <w:spacing w:after="40"/>
      </w:pPr>
      <w:r>
        <w:t>After broker order submission, the engine reads the local tick LTP (or REST quote fallback) to populate its in-memory entry_price. This is not the broker-confirmed average fill price. On restart recovery, it uses FYERS net position average price instead.</w:t>
      </w:r>
    </w:p>
    <w:p>
      <w:pPr>
        <w:pStyle w:val="ListBullet"/>
        <w:spacing w:after="40"/>
      </w:pPr>
      <w:r>
        <w:t>Positions and entry-state are held in memory by the active engine thread. On successful login/restart, the app tries to reconcile positive NFO/MIS positions for the selected index’s current option chain and resume monitoring.</w:t>
      </w:r>
    </w:p>
    <w:tbl>
      <w:tblPr>
        <w:tblW w:type="auto" w:w="0"/>
        <w:jc w:val="center"/>
        <w:tblLook w:firstColumn="1" w:firstRow="1" w:lastColumn="0" w:lastRow="0" w:noHBand="0" w:noVBand="1" w:val="04A0"/>
      </w:tblPr>
      <w:tblGrid>
        <w:gridCol w:w="9835"/>
      </w:tblGrid>
      <w:tr>
        <w:tc>
          <w:tcPr>
            <w:tcW w:type="dxa" w:w="9835"/>
            <w:shd w:fill="FFF4E5"/>
            <w:tcMar>
              <w:top w:w="130" w:type="dxa"/>
              <w:start w:w="150" w:type="dxa"/>
              <w:bottom w:w="130" w:type="dxa"/>
              <w:end w:w="150" w:type="dxa"/>
            </w:tcMar>
          </w:tcPr>
          <w:p>
            <w:pPr>
              <w:spacing w:after="40"/>
            </w:pPr>
            <w:r/>
            <w:r>
              <w:rPr>
                <w:b/>
                <w:color w:val="B7791F"/>
              </w:rPr>
              <w:t>Monitoring is application-side</w:t>
            </w:r>
          </w:p>
          <w:p>
            <w:pPr>
              <w:spacing w:after="0" w:line="240" w:lineRule="auto"/>
            </w:pPr>
            <w:r>
              <w:rPr>
                <w:sz w:val="18"/>
              </w:rPr>
              <w:t>FYERS order payload sets stopLoss=0 and takeProfit=0. The app does not place a broker-native stop-loss/target order. Stop loss, target and time checks therefore depend on the process, valid auth, current quotes/ticks and successful market orders at exit.</w:t>
            </w:r>
          </w:p>
        </w:tc>
      </w:tr>
    </w:tbl>
    <w:p>
      <w:pPr>
        <w:spacing w:after="20"/>
      </w:pPr>
    </w:p>
    <w:p>
      <w:pPr>
        <w:pStyle w:val="Heading1"/>
      </w:pPr>
      <w:r>
        <w:t>8. Trade monitoring and exits</w:t>
      </w:r>
    </w:p>
    <w:p>
      <w:r>
        <w:t>monitor_and_exit loops while the app tracks one or more legs. It refreshes the supported exit settings from settings.json on every loop (about once per second), recalculates unrealized P&amp;L from the tick-store LTP, emits dashboard updates and checks exits.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Check</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Code behavior</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Stop button</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stop_event causes immediate square-off attempt with reason MANUAL_STOP.</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Force exit</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force_exit_time is checked on every iteration regardless of other toggles. Example default is 15:15; production settings can differ.</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Optional time exit</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When time_exit_enabled is true and time reaches time_exit, square off all open legs.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Stop loss / target in COMBINED mode</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Sum the app’s P&amp;L across open legs. If enabled, close all when total &lt;= -abs(max_loss) or &gt;= abs(target_profit).</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Stop loss / target in per-leg mode</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Any pnl_mode value other than COMBINED uses each leg’s P&amp;L independently and exits qualifying legs.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Stale tick watchdog</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Warns if no tick has arrived for over 20 seconds and re-warns at most every 30 seconds. It does not itself exit or install a broker stop.</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Broker quantity check</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Before a SELL, LIVE mode queries FYERS positions and sells only the remaining positive quantity. If the app detects a manual exit or partial exit, it skips or adjusts to the broker quantity to avoid reversing short.</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Unexpected run exit</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 safety-net cleanup attempts to square off positions still in the in-memory list and stop the ticker.</w:t>
            </w:r>
          </w:p>
        </w:tc>
      </w:tr>
    </w:tbl>
    <w:p>
      <w:pPr>
        <w:spacing w:after="20"/>
      </w:pPr>
    </w:p>
    <w:p>
      <w:r>
        <w:t>The monitored P&amp;L formula is (last_price - entry_price) x quantity per leg. It excludes brokerage, STT, exchange charges, GST, stamp duty, slippage and fill-price differences. User settings are re-read for exit controls, but changing lots, index or entry settings does not change an already-open position.</w:t>
      </w:r>
    </w:p>
    <w:p>
      <w:pPr>
        <w:pStyle w:val="Heading1"/>
      </w:pPr>
      <w:r>
        <w:t>9. User settings and their effects</w:t>
      </w:r>
    </w:p>
    <w:p>
      <w:r>
        <w:t>The settings.example.json file supplies defaults for a new installation; the actual settings.json and environment variables on the server determine production behavior. Environment-backed credentials are overlaid by app_config.py and are not returned to the browser or persisted in settings.json.</w:t>
      </w:r>
    </w:p>
    <w:p>
      <w:pPr>
        <w:pStyle w:val="Heading2"/>
      </w:pPr>
      <w:r>
        <w:t>9.1 Dashboard settings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Setting</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Default/example</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Where/how it is used</w:t>
            </w:r>
          </w:p>
        </w:tc>
      </w:tr>
      <w:tr>
        <w:trPr>
          <w:cantSplit/>
        </w:trPr>
        <w:tc>
          <w:tcPr>
            <w:tcW w:type="dxa" w:w="3278"/>
            <w:vAlign w:val="center"/>
            <w:tcMar>
              <w:top w:w="80" w:type="dxa"/>
              <w:start w:w="95" w:type="dxa"/>
              <w:bottom w:w="80" w:type="dxa"/>
              <w:end w:w="95" w:type="dxa"/>
            </w:tcMar>
          </w:tcPr>
          <w:p>
            <w:pPr>
              <w:spacing w:after="0" w:line="240" w:lineRule="auto"/>
            </w:pPr>
            <w:r>
              <w:t>Options instrument</w:t>
            </w:r>
            <w:r>
              <w:rPr>
                <w:rFonts w:ascii="Arial" w:hAnsi="Arial"/>
                <w:b w:val="0"/>
                <w:color w:val="263746"/>
                <w:sz w:val="16"/>
              </w:rPr>
            </w:r>
          </w:p>
        </w:tc>
        <w:tc>
          <w:tcPr>
            <w:tcW w:type="dxa" w:w="3278"/>
            <w:vAlign w:val="center"/>
            <w:tcMar>
              <w:top w:w="80" w:type="dxa"/>
              <w:start w:w="95" w:type="dxa"/>
              <w:bottom w:w="80" w:type="dxa"/>
              <w:end w:w="95" w:type="dxa"/>
            </w:tcMar>
          </w:tcPr>
          <w:p>
            <w:pPr>
              <w:spacing w:after="0" w:line="240" w:lineRule="auto"/>
            </w:pPr>
            <w:r>
              <w:t>NIFTY; BANKNIFTY; FINNIFTY; MIDCPNIFTY; SENSEX</w:t>
            </w:r>
            <w:r>
              <w:rPr>
                <w:rFonts w:ascii="Arial" w:hAnsi="Arial"/>
                <w:b w:val="0"/>
                <w:color w:val="263746"/>
                <w:sz w:val="16"/>
              </w:rPr>
            </w:r>
          </w:p>
        </w:tc>
        <w:tc>
          <w:tcPr>
            <w:tcW w:type="dxa" w:w="3278"/>
            <w:vAlign w:val="center"/>
            <w:tcMar>
              <w:top w:w="80" w:type="dxa"/>
              <w:start w:w="95" w:type="dxa"/>
              <w:bottom w:w="80" w:type="dxa"/>
              <w:end w:w="95" w:type="dxa"/>
            </w:tcMar>
          </w:tcPr>
          <w:p>
            <w:pPr>
              <w:spacing w:after="0" w:line="240" w:lineRule="auto"/>
            </w:pPr>
            <w:r>
              <w:t>UI supports NIFTY, BANKNIFTY, FINNIFTY and MIDCPNIFTY on NSE, plus SENSEX on BSE. Uses the matching spot, option-chain and futures exchange data. Applies to the next run; stop before changing.</w:t>
            </w:r>
            <w:r>
              <w:rPr>
                <w:rFonts w:ascii="Arial" w:hAnsi="Arial"/>
                <w:b w:val="0"/>
                <w:color w:val="263746"/>
                <w:sz w:val="16"/>
              </w:rPr>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Lots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4</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Positive integer. Order quantity = lots x live FYERS lot size for each selected leg.</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AI Provider</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Gemini</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gemini, claude, openai. AI_PROVIDER environment variable fixes/overrides UI selection when set.</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Stop Loss enabled / max loss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false / ₹4,000</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When enabled, a currency P&amp;L threshold triggers market square-off. COMBINED sums all legs; other pnl_mode values are per-leg.</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Target enabled / target profit</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false / ₹1,000</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When enabled, a currency P&amp;L threshold triggers market square-off, combined or per leg according to pnl_mode.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Time Exit enabled / time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false / 10:30</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When enabled, exits at the configured clock time. Current monitor compares against OS-local time, not an explicit IST clock.</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Mode badge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DRY RUN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Separate UI switch writes dry_run. DRY RUN does not send broker orders; LIVE does. Refuses switching while a run is active.</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Proxy enabled / host / port</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false / sample host / 8080</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These controls are persisted, but current FYERS/AI HTTP client code does not read/apply this proxy configuration. No effect is implemented by these fields.</w:t>
            </w:r>
          </w:p>
        </w:tc>
      </w:tr>
    </w:tbl>
    <w:p>
      <w:pPr>
        <w:spacing w:after="20"/>
      </w:pPr>
    </w:p>
    <w:p>
      <w:pPr>
        <w:pStyle w:val="Heading2"/>
      </w:pPr>
      <w:r>
        <w:t>9.2 Advanced AI and Strategy settings</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Control</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Default</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Parameter class and code effect</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If increased / decreased</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Profit margin factor</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1.15</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Multiplier/entry profitability filter. Multiplies ATM premium(s) to form required move points; compared with expected_move.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Higher makes CALL/PUT/BOTH harder to qualify; lower makes them easier. API clamps minimum to 1.0.</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Momentum band min</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0.25</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Lower threshold on used_fraction = abs(spot-open)/expected_move.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Higher waits for more movement before momentum nudges direction; lower allows earlier momentum signals.</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Momentum band max</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0.65</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Upper threshold on the same fraction; above max momentum becomes NEUTRAL.</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Higher permits later/larger realized moves to continue nudging direction; lower excludes them sooner.</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OI build-up/unwind clamp</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0.50</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Multiplier cap: ratio is clamped to [1-c,1+c] for selected wall/ATM ratios in weighted PCR/base wall. Also caps OI magnitude input to Volatility Confidence.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Higher lets fresh OI changes move the OI weights/confidence more; lower dampens them. UI/API range 0..1.</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Volatility Confidence ratio scale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50</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Weight applied to expected_move / recent average high-low range. Gauge only.</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Higher makes the expected-range ratio dominate confidence more; lower reduces it. Does not change direction probability.</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ORB breakout bonus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15</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Flat bonus in Volatility Confidence when ORB is BULLISH or BEARISH.</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Higher raises confidence after breakout; lower reduces it. No direct probability nudge weight change.</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Momentum bonus max</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20</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Scales the used fraction into a Volatility Confidence bonus, capped at this value.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Higher makes realized move magnitude add more confidence; lower less. This can rise even when directional momentum is excluded above max.</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OI build-up/unwind bonus max</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15</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Confidence weight for average clamped absolute wall OI-change magnitudes; sign is ignored.</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Higher emphasizes unusual OI changes as magnitude evidence; lower reduces that gauge input.</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CPR narrowness bonus max</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15</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Confidence weight for normalized narrow CPR. Narrower means a larger positive bonus; wide CPR contributes zero.</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Higher increases importance of narrow CPR for confidence; lower reduces it. No direction vote.</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Current AI prompt</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Read-only</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Preview of fixed provider prompt without run-time market context. Not a score, weight or setting.</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 effect unless the trader changes the separate custom note.</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Additional note to AI</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Empty</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Free-text context appended to the fixed prompt; influences only AI sentiment/reason and therefore at most its +/-5 pp nudge/conflict filter.</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More detail may influence sentiment but does not directly change order quantity, strike, or risk settings.</w:t>
            </w:r>
          </w:p>
        </w:tc>
      </w:tr>
    </w:tbl>
    <w:p>
      <w:pPr>
        <w:spacing w:after="20"/>
      </w:pPr>
    </w:p>
    <w:p>
      <w:r>
        <w:t>These settings do not all affect the final direction. Profit margin is a hard profitability threshold; momentum min/max and OI clamp alter directional inputs; the five Volatility Confidence values change only the 0-100 magnitude gauge (which is also provided to AI); custom_ai_note can indirectly affect direction through AI. There is no user setting for each probability vote’s weight: adjustment_per_signal is fixed at 0.05 in option_signal.py.</w:t>
      </w:r>
    </w:p>
    <w:p>
      <w:pPr>
        <w:pStyle w:val="Heading2"/>
      </w:pPr>
      <w:r>
        <w:t>9.3 Additional file-backed strategy values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File setting</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Example default</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Actual use and whether the dashboard exposes it</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pcr_threshold</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0.15</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Neutral band around weighted PCR=1: bullish &gt;1.15, bearish &lt;0.85. Also used by probability nudge. Not editable in Settings endpoint.</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range_lookback_days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5</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Completed high-low candles for average range/gap threshold and CPR normalization. Hidden from UI.</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gap_threshold_factor</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0.5</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Large gap if abs(gap) &gt; avg_range x factor. Hidden from UI.</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min_expected_move_points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30</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If expected_move is below this, NO_TRADE takes precedence. Code compares the blend when both sources exist. Hidden from UI.</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call_probability_threshold / put_probability_threshold</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0.55 / 0.45</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Final directional thresholds. Hidden from UI; decision function requires put &lt; call.</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historical_range_lookback_days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15</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Completed daily open-to-close observations in the expected-move blend. Hidden from UI.</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atm_oi_change_threshold</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0.10</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Minimum difference between ATM PE and CE OI-change ratios for an ATM OI directional classification. Hidden from UI.</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orb_minutes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15</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Opening range length in minutes after 09:15 IST. Hidden from UI.</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force_exit_time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15:15</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Unconditional monitor exit threshold. Hidden from UI; re-read while the monitor runs.</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pnl_mode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COMBINED</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COMBINED aggregates open-leg P&amp;L; any other value selects per-leg exit logic. Hidden from UI.</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dry_run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true</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Execution mode. It can be changed with the dedicated dashboard mode badge, not the Settings form.</w:t>
            </w:r>
          </w:p>
        </w:tc>
      </w:tr>
    </w:tbl>
    <w:p>
      <w:pPr>
        <w:spacing w:after="20"/>
      </w:pPr>
    </w:p>
    <w:p>
      <w:pPr>
        <w:pStyle w:val="Heading2"/>
      </w:pPr>
      <w:r>
        <w:t>9.4 Environment values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Environment group</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Purpose</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APP_USERNAME, APP_PASSWORD, APP_SESSION_SECRET</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Dashboard login and Flask session signing. Required for protected dashboard login.</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FYERS_CLIENT_ID, FYERS_SECRET_KEY, FYERS_REDIRECT_URI</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FYERS OAuth and callback configuration.</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AI_PROVIDER and provider API key(s)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Select Gemini/Claude/OpenAI and authenticate to that API. The selected provider’s key must be configured.</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GEMINI_MODEL, CLAUDE_MODEL, OPENAI_MODEL</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Model overrides for each provider; otherwise settings/default model values apply.</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TAVILY_API_KEY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Search key used only by the Gemini path in the current code.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PROXY_USERNAME, PROXY_PASSWORD</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Environment values are read into stored proxy preferences, but those preferences are not applied by current request clients.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DATA_DIR, SETTINGS_PATH, HOST, PORT, APP_ENV, COOKIE_SECURE</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Storage, bind/runtime and session cookie configuration; not directional strategy parameters.</w:t>
            </w:r>
          </w:p>
        </w:tc>
      </w:tr>
    </w:tbl>
    <w:p>
      <w:pPr>
        <w:spacing w:after="20"/>
      </w:pPr>
    </w:p>
    <w:p>
      <w:pPr>
        <w:pStyle w:val="Heading1"/>
      </w:pPr>
      <w:r>
        <w:t>10. Journal and outcome tracking</w:t>
      </w:r>
    </w:p>
    <w:p>
      <w:r>
        <w:t>trading_journal.py initializes a SQLite database at DATA_DIR/trading_journal.sqlite3. When the decision event arrives, app.py stores the recommendation, direction, market context, selected index, strategy snapshot and run kind (execute/analyze/manual). Secret settings are removed before serialization.</w:t>
      </w:r>
    </w:p>
    <w:p>
      <w:pPr>
        <w:pStyle w:val="ListBullet"/>
        <w:spacing w:after="40"/>
      </w:pPr>
      <w:r>
        <w:t>The background journal loop updates recommendation outcomes from later spot observations while a FYERS client is logged in. Account-wide order, trade and charge syncing is not implemented.</w:t>
      </w:r>
    </w:p>
    <w:p>
      <w:pPr>
        <w:pStyle w:val="ListBullet"/>
        <w:spacing w:after="40"/>
      </w:pPr>
      <w:r>
        <w:t>Each application recommendation is stored separately from broker executions. A recommendation is not evidence that an order was submitted or filled.</w:t>
      </w:r>
    </w:p>
    <w:p>
      <w:pPr>
        <w:pStyle w:val="ListBullet"/>
        <w:spacing w:after="40"/>
      </w:pPr>
      <w:r>
        <w:t>FYERS charge history and account-performance synchronization are not implemented. The application does not calculate brokerage, STT, GST, exchange fees or stamp duty.</w:t>
      </w:r>
    </w:p>
    <w:p>
      <w:pPr>
        <w:pStyle w:val="ListBullet"/>
        <w:spacing w:after="40"/>
      </w:pPr>
      <w:r>
        <w:t>Recommendation outcome tracking compares later underlying spot candles at 15m, 30m, 60m and close. For CALL/PUT it records directional correctness; BOTH has no directional correctness boolean. This is not option-premium return, execution slippage or strategy expectancy.</w:t>
      </w:r>
    </w:p>
    <w:p>
      <w:pPr>
        <w:pStyle w:val="ListBullet"/>
        <w:spacing w:after="40"/>
      </w:pPr>
      <w:r>
        <w:t>The recommendation journal is not a record of manual FYERS exits or actual fills. Do not use its directional outcomes as realized trade P&amp;L.</w:t>
      </w:r>
    </w:p>
    <w:p>
      <w:pPr>
        <w:pStyle w:val="Heading1"/>
      </w:pPr>
      <w:r>
        <w:t>11. Code-to-logic map</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trPr>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Module / function</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Inputs</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Processing</w:t>
            </w:r>
          </w:p>
        </w:tc>
        <w:tc>
          <w:tcPr>
            <w:tcW w:type="dxa" w:w="2459"/>
            <w:vAlign w:val="center"/>
            <w:tcMar>
              <w:top w:w="80" w:type="dxa"/>
              <w:start w:w="95" w:type="dxa"/>
              <w:bottom w:w="80" w:type="dxa"/>
              <w:end w:w="95" w:type="dxa"/>
            </w:tcMar>
            <w:shd w:fill="17324D"/>
          </w:tcPr>
          <w:p>
            <w:pPr>
              <w:spacing w:after="0" w:line="240" w:lineRule="auto"/>
            </w:pPr>
            <w:r/>
            <w:r>
              <w:rPr>
                <w:rFonts w:ascii="Arial" w:hAnsi="Arial"/>
                <w:b/>
                <w:color w:val="FFFFFF"/>
                <w:sz w:val="16"/>
              </w:rPr>
              <w:t>Output and next consumer</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app.py: execute / analyze / manual_trade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HTTP action, login state, settings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Starts background engine thread and relays events/ticks.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engine.run, analyze_only or manual_run.</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engine.py: build_option_universe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Index and FYERS client</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Spot quote, nearest expiry, ATM spacing, +/-5 option set, nearest future.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Universe consumed by ticker and analysis.</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engine.py: gather_strike_oi / get_oi_change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Ticks, option-chain snapshot, historical OI</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Ticker OI fallback, wall and ATM today/yesterday ratios.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Strike OI/volume and change ratios feed option_signal.</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option_signal.py: compute_oi_bias / compute_oi_walls / compute_direction_probability</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Strike OI, spot, spacing, OI changes, clamp</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Raw and weighted PCR, walls, proximity/freshness-adjusted base.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OI Bias, base upside/downside and wall UI data.</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engine.py: get_vwap / get_gap_flag / get_orb_bias / get_cpr_width_ratio</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Ticks, history, OHLC, settings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Builds VWAP, gap, IST opening range and CPR ratio.</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Signal inputs and separate confidence gauge.</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option_signal.py: compute_vix_expected_move / compute_avg_open_to_close_range / compute_momentum_bias / compute_volatility_confidence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VIX, daily candles, today open/spot and settings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Move size, blend, used fraction and confidence formula.</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Profitability/momentum/AI context; confidence is display-only to direction.</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ai_sentiment.py: get_ai_sentiment</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Provider, prompt, Tavily/provider search, context, custom note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One API call, strict sentiment parse, neutral safe fallback.</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Sentiment/reason to combine_probability_signals and decision guard.</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option_signal.py: combine_probability_signals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Base probability plus seven signal inputs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Add/subtract fixed 5 pp per directional signal; clamp 5%-95%.</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Probability shown and passed unchanged to decision.decide_direction.</w:t>
            </w:r>
          </w:p>
        </w:tc>
      </w:tr>
      <w:tr>
        <w:trPr>
          <w:cantSplit/>
        </w:trPr>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decision.py: decide_direction</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Final probability, AI, gap/range filters, thresholds, premium move amounts</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Ordered filter/threshold truth table.</w:t>
            </w:r>
          </w:p>
        </w:tc>
        <w:tc>
          <w:tcPr>
            <w:tcW w:type="dxa" w:w="2459"/>
            <w:vAlign w:val="center"/>
            <w:tcMar>
              <w:top w:w="80" w:type="dxa"/>
              <w:start w:w="95" w:type="dxa"/>
              <w:bottom w:w="80" w:type="dxa"/>
              <w:end w:w="95" w:type="dxa"/>
            </w:tcMar>
          </w:tcPr>
          <w:p>
            <w:pPr>
              <w:spacing w:after="0" w:line="240" w:lineRule="auto"/>
            </w:pPr>
            <w:r/>
            <w:r>
              <w:rPr>
                <w:rFonts w:ascii="Arial" w:hAnsi="Arial"/>
                <w:b w:val="0"/>
                <w:color w:val="263746"/>
                <w:sz w:val="16"/>
              </w:rPr>
              <w:t>CALL/PUT/BOTH/NO_TRADE.</w:t>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engine.py: enter_positions / monitor_and_exit / _square_off_one</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Decision, lots, FYERS order/position data, ticks, exit settings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Market-open gate, BUY order(s), LTP P&amp;L checks, broker-quantity-confirmed SELL.</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Dashboard positions/events; final market exit order.</w:t>
            </w:r>
          </w:p>
        </w:tc>
      </w:tr>
      <w:tr>
        <w:trPr>
          <w:cantSplit/>
        </w:trPr>
        <w:tc>
          <w:tcPr>
            <w:tcW w:type="dxa" w:w="2459"/>
            <w:vAlign w:val="center"/>
            <w:tcMar>
              <w:top w:w="80" w:type="dxa"/>
              <w:start w:w="95" w:type="dxa"/>
              <w:bottom w:w="80" w:type="dxa"/>
              <w:end w:w="95" w:type="dxa"/>
            </w:tcMar>
          </w:tcPr>
          <w:p>
            <w:pPr>
              <w:spacing w:after="0" w:line="240" w:lineRule="auto"/>
            </w:pPr>
            <w:r>
              <w:t>app.py + trading_journal.py</w:t>
            </w:r>
            <w:r>
              <w:rPr>
                <w:rFonts w:ascii="Arial" w:hAnsi="Arial"/>
                <w:b w:val="0"/>
                <w:color w:val="263746"/>
                <w:sz w:val="16"/>
              </w:rPr>
            </w:r>
          </w:p>
        </w:tc>
        <w:tc>
          <w:tcPr>
            <w:tcW w:type="dxa" w:w="2459"/>
            <w:vAlign w:val="center"/>
            <w:tcMar>
              <w:top w:w="80" w:type="dxa"/>
              <w:start w:w="95" w:type="dxa"/>
              <w:bottom w:w="80" w:type="dxa"/>
              <w:end w:w="95" w:type="dxa"/>
            </w:tcMar>
          </w:tcPr>
          <w:p>
            <w:pPr>
              <w:spacing w:after="0" w:line="240" w:lineRule="auto"/>
            </w:pPr>
            <w:r>
              <w:t>Signal-time snapshot, signal ID, configuration/code version and later spot outcomes</w:t>
            </w:r>
            <w:r>
              <w:rPr>
                <w:rFonts w:ascii="Arial" w:hAnsi="Arial"/>
                <w:b w:val="0"/>
                <w:color w:val="263746"/>
                <w:sz w:val="16"/>
              </w:rPr>
            </w:r>
          </w:p>
        </w:tc>
        <w:tc>
          <w:tcPr>
            <w:tcW w:type="dxa" w:w="2459"/>
            <w:vAlign w:val="center"/>
            <w:tcMar>
              <w:top w:w="80" w:type="dxa"/>
              <w:start w:w="95" w:type="dxa"/>
              <w:bottom w:w="80" w:type="dxa"/>
              <w:end w:w="95" w:type="dxa"/>
            </w:tcMar>
          </w:tcPr>
          <w:p>
            <w:pPr>
              <w:spacing w:after="0" w:line="240" w:lineRule="auto"/>
            </w:pPr>
            <w:r>
              <w:t>Persist the recommendation and its point-in-time data separately from execution records; unavailable outcomes remain unavailable.</w:t>
            </w:r>
            <w:r>
              <w:rPr>
                <w:rFonts w:ascii="Arial" w:hAnsi="Arial"/>
                <w:b w:val="0"/>
                <w:color w:val="263746"/>
                <w:sz w:val="16"/>
              </w:rPr>
            </w:r>
          </w:p>
        </w:tc>
        <w:tc>
          <w:tcPr>
            <w:tcW w:type="dxa" w:w="2459"/>
            <w:vAlign w:val="center"/>
            <w:tcMar>
              <w:top w:w="80" w:type="dxa"/>
              <w:start w:w="95" w:type="dxa"/>
              <w:bottom w:w="80" w:type="dxa"/>
              <w:end w:w="95" w:type="dxa"/>
            </w:tcMar>
          </w:tcPr>
          <w:p>
            <w:pPr>
              <w:spacing w:after="0" w:line="240" w:lineRule="auto"/>
            </w:pPr>
            <w:r>
              <w:t>SQLite recommendation journal and outcome/report APIs.</w:t>
            </w:r>
            <w:r>
              <w:rPr>
                <w:rFonts w:ascii="Arial" w:hAnsi="Arial"/>
                <w:b w:val="0"/>
                <w:color w:val="263746"/>
                <w:sz w:val="16"/>
              </w:rPr>
            </w:r>
          </w:p>
        </w:tc>
      </w:tr>
      <w:tr>
        <w:trPr>
          <w:cantSplit/>
        </w:trPr>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templates/index.html + static/dashboard.js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Structured engine events and user inputs</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Render settings, cards, signal chips, probability bars, positions, journal.</w:t>
            </w:r>
          </w:p>
        </w:tc>
        <w:tc>
          <w:tcPr>
            <w:tcW w:type="dxa" w:w="2459"/>
            <w:vAlign w:val="center"/>
            <w:tcMar>
              <w:top w:w="80" w:type="dxa"/>
              <w:start w:w="95" w:type="dxa"/>
              <w:bottom w:w="80" w:type="dxa"/>
              <w:end w:w="95" w:type="dxa"/>
            </w:tcMar>
            <w:shd w:fill="F4F7F9"/>
          </w:tcPr>
          <w:p>
            <w:pPr>
              <w:spacing w:after="0" w:line="240" w:lineRule="auto"/>
            </w:pPr>
            <w:r/>
            <w:r>
              <w:rPr>
                <w:rFonts w:ascii="Arial" w:hAnsi="Arial"/>
                <w:b w:val="0"/>
                <w:color w:val="263746"/>
                <w:sz w:val="16"/>
              </w:rPr>
              <w:t>Presentation only; no independent trading calculation.</w:t>
            </w:r>
          </w:p>
        </w:tc>
      </w:tr>
    </w:tbl>
    <w:p>
      <w:pPr>
        <w:spacing w:after="20"/>
      </w:pPr>
    </w:p>
    <w:p>
      <w:pPr>
        <w:pStyle w:val="Heading1"/>
      </w:pPr>
      <w:r>
        <w:t>12. End-to-end example from the production log</w:t>
      </w:r>
    </w:p>
    <w:p>
      <w:r>
        <w:t>The following 7 October 2026 production cycle shows a live bearish decision and a stop-loss exit. Values are taken from the supplied production log, not invented. The surrounding log also contains Analyze Only runs; those do not place orders.</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Stage</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Observed value / calculation</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Market data</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Spot 22,560.95; nearest expiry 13 Oct 2026; strike interval 50; ATM 22,550; tracked 22,300-22,800. VWAP future NIFTY26OCTFUT.</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OI acquisition</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Ticker omitted OI for 22 options; fallback recovered 22/22 from chain snapshot. Wall OI changes: resistance ratio 2.43, support ratio 1.60; ATM call 7.93, ATM put 3.97.</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Technical signals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Real PCR 0.885, weighted PCR 1.047 -&gt; OI Bias neutral (inside 0.85-1.15). Spot below VWAP 22,680.38 -&gt; bearish. ORB 22,600.45-22,692.95; spot 22,560.95 below range -&gt; bearish. Gap -85.65 points; average range 246.05; large_gap false because 85.65 &lt; 123.03 (= 246.05 x .5). Technical majority = bearish (2 bearish votes).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Move size</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VIX move +/-201.4; 15-session historical open-close average +/-119.5; blend (201.4+119.5)/2 = +/-160.4. Spot is 129.5 below open, so 80.7% of the expected move is already used; above max 65%, so momentum bias is neutral.</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Premium filter</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ATM CE 162.90 x 1.15 = 187.34 required points. ATM PE 132.80 x 1.15 = 152.72. Both = (162.90+132.80) x 1.15 = 340.06. Expected move 160.4 clears the PUT threshold only.</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Tavily returned four recent-search results; Gemini returned NEGATIVE with a reason referring to the falling index/opening-range break and RBI policy context. This gives a -5 pp vote; AI does not set the order itself.</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Probability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Base upside from OI-wall proximity = 52%. Nudges: weighted PCR 0; VWAP -5; ORB -5; negative gap -5; ATM OI bearish -5; AI negative -5; momentum neutral 0. Net -25 pp. Final upside 52%-25%=27%; downside=73%.</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Final direction</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27% &lt;= put threshold 45%; AI is negative, so it does not oppose PUT. Large gap is false; expected move 160.4 &gt;= PUT required 152.72. Final direction PUT.</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Strategy and entry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Execute submits an INTRADAY market BUY for the ATM PE, NIFTY26O1322550PE, qty 65. FYERS returned accepted order; the app logged entry LTP 132.85.</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Monitoring and exit</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Combined stop loss was enabled at ₹1,000. At LTP 117.00, app P&amp;L=(117.00-132.85)x65=-₹1,030.25, so the combined SL condition triggered and a FYERS SELL market order was accepted.</w:t>
            </w:r>
          </w:p>
        </w:tc>
      </w:tr>
    </w:tbl>
    <w:p>
      <w:pPr>
        <w:spacing w:after="20"/>
      </w:pPr>
    </w:p>
    <w:p>
      <w:r>
        <w:t>This example also demonstrates that a bearish “direction” means buying a PUT, not selling the index. The 81% Volatility Confidence shown for this cycle is not the 73% downside score and is not a separate reason to enter.</w:t>
      </w:r>
    </w:p>
    <w:p>
      <w:pPr>
        <w:pStyle w:val="Heading1"/>
      </w:pPr>
      <w:r>
        <w:t>13. Production log observations and caveats</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Observation in supplied log</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What it establishes</w:t>
            </w:r>
          </w:p>
        </w:tc>
        <w:tc>
          <w:tcPr>
            <w:tcW w:type="dxa" w:w="3278"/>
            <w:vAlign w:val="center"/>
            <w:tcMar>
              <w:top w:w="80" w:type="dxa"/>
              <w:start w:w="95" w:type="dxa"/>
              <w:bottom w:w="80" w:type="dxa"/>
              <w:end w:w="95" w:type="dxa"/>
            </w:tcMar>
            <w:shd w:fill="17324D"/>
          </w:tcPr>
          <w:p>
            <w:pPr>
              <w:spacing w:after="0" w:line="240" w:lineRule="auto"/>
            </w:pPr>
            <w:r/>
            <w:r>
              <w:rPr>
                <w:rFonts w:ascii="Arial" w:hAnsi="Arial"/>
                <w:b/>
                <w:color w:val="FFFFFF"/>
                <w:sz w:val="16"/>
              </w:rPr>
              <w:t>What it does not establish</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37 Tavily HTTP 200 and 37 Gemini HTTP 200 entries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Both services responded in those analysis cycles; Gemini parsed sentiment output.</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Does not prove every headline was relevant/current or every sentiment was factually correct.</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37 successful OI fallbacks, 22/22 each</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The option-chain snapshot fallback populated missing ticker OI in those runs.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Does not mean FYERS quote API returned OI; its logged quote OI count was zero.</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Ticker disconnect/reconnect events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WebSocket had transient drops and the SDK attempted reconnection.</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Does not guarantee tick continuity during the gap; the monitor only warns on stale ticks.</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23 chart/LTP HTTP 500s during invalid-token responses, followed later by 200s</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REST display calls failed while FYERS auth was invalid and later recovered after re-login.</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 200 later does not restore any missed tick history or prove all journal rows synced.</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203 order/trade sync authentication errors and two rate-limit errors</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The journal sync was not continuously healthy; synchronization could lag.</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The log alone cannot prove missing journal rows were eventually backfilled.</w:t>
            </w:r>
          </w:p>
        </w:tc>
      </w:tr>
      <w:tr>
        <w:trPr>
          <w:cantSplit/>
        </w:trPr>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Oct 6 SELL rejected after FYERS system square-off</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App’s exit order was rejected with FYERS MIS system-square-off message.</w:t>
            </w:r>
          </w:p>
        </w:tc>
        <w:tc>
          <w:tcPr>
            <w:tcW w:type="dxa" w:w="3278"/>
            <w:vAlign w:val="center"/>
            <w:tcMar>
              <w:top w:w="80" w:type="dxa"/>
              <w:start w:w="95" w:type="dxa"/>
              <w:bottom w:w="80" w:type="dxa"/>
              <w:end w:w="95" w:type="dxa"/>
            </w:tcMar>
            <w:shd w:fill="F4F7F9"/>
          </w:tcPr>
          <w:p>
            <w:pPr>
              <w:spacing w:after="0" w:line="240" w:lineRule="auto"/>
            </w:pPr>
            <w:r/>
            <w:r>
              <w:rPr>
                <w:rFonts w:ascii="Arial" w:hAnsi="Arial"/>
                <w:b w:val="0"/>
                <w:color w:val="263746"/>
                <w:sz w:val="16"/>
              </w:rPr>
              <w:t>The log does not independently confirm final broker quantity/closure.</w:t>
            </w:r>
          </w:p>
        </w:tc>
      </w:tr>
      <w:tr>
        <w:trPr>
          <w:cantSplit/>
        </w:trPr>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Oct 7 accepted BUY without following entered-position or square-off log</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Broker accepted an order; the application-side tracking record is absent in the provided log segment.</w:t>
            </w:r>
          </w:p>
        </w:tc>
        <w:tc>
          <w:tcPr>
            <w:tcW w:type="dxa" w:w="3278"/>
            <w:vAlign w:val="center"/>
            <w:tcMar>
              <w:top w:w="80" w:type="dxa"/>
              <w:start w:w="95" w:type="dxa"/>
              <w:bottom w:w="80" w:type="dxa"/>
              <w:end w:w="95" w:type="dxa"/>
            </w:tcMar>
          </w:tcPr>
          <w:p>
            <w:pPr>
              <w:spacing w:after="0" w:line="240" w:lineRule="auto"/>
            </w:pPr>
            <w:r/>
            <w:r>
              <w:rPr>
                <w:rFonts w:ascii="Arial" w:hAnsi="Arial"/>
                <w:b w:val="0"/>
                <w:color w:val="263746"/>
                <w:sz w:val="16"/>
              </w:rPr>
              <w:t>The file alone cannot prove whether a position remained open; verify FYERS positions/order history.</w:t>
            </w:r>
          </w:p>
        </w:tc>
      </w:tr>
    </w:tbl>
    <w:p>
      <w:pPr>
        <w:spacing w:after="20"/>
      </w:pPr>
    </w:p>
    <w:tbl>
      <w:tblPr>
        <w:tblW w:type="auto" w:w="0"/>
        <w:jc w:val="center"/>
        <w:tblLook w:firstColumn="1" w:firstRow="1" w:lastColumn="0" w:lastRow="0" w:noHBand="0" w:noVBand="1" w:val="04A0"/>
      </w:tblPr>
      <w:tblGrid>
        <w:gridCol w:w="9835"/>
      </w:tblGrid>
      <w:tr>
        <w:tc>
          <w:tcPr>
            <w:tcW w:type="dxa" w:w="9835"/>
            <w:shd w:fill="FFF4E5"/>
            <w:tcMar>
              <w:top w:w="130" w:type="dxa"/>
              <w:start w:w="150" w:type="dxa"/>
              <w:bottom w:w="130" w:type="dxa"/>
              <w:end w:w="150" w:type="dxa"/>
            </w:tcMar>
          </w:tcPr>
          <w:p>
            <w:pPr>
              <w:spacing w:after="40"/>
            </w:pPr>
            <w:r/>
            <w:r>
              <w:rPr>
                <w:b/>
                <w:color w:val="B7791F"/>
              </w:rPr>
              <w:t>Important implementation risks</w:t>
            </w:r>
          </w:p>
          <w:p>
            <w:pPr>
              <w:spacing w:after="0" w:line="240" w:lineRule="auto"/>
            </w:pPr>
            <w:r>
              <w:rPr>
                <w:sz w:val="18"/>
              </w:rPr>
              <w:t>The monitor compares exit settings with datetime.datetime.now().time(), which is the VM’s local clock, while ORB explicitly uses IST. If the production VM is configured for UTC, a 15:15 exit setting is interpreted as 15:15 UTC (20:45 IST). Also, entry_positions submits a BUY before fetching the post-order LTP and appending the position to its monitor list. A failure in that interval could leave an accepted broker order without an app-tracked position. These are code-level risks; the log does not prove the VM timezone or the actual status of the referenced position.</w:t>
            </w:r>
          </w:p>
        </w:tc>
      </w:tr>
    </w:tbl>
    <w:p>
      <w:pPr>
        <w:spacing w:after="20"/>
      </w:pPr>
    </w:p>
    <w:p>
      <w:r>
        <w:t>The supplied access log also records an FYERS OAuth callback URL containing an auth_code query parameter. Do not include that raw line in shared documentation or public issue reports; redact callback query strings in production access logs.</w:t>
      </w:r>
    </w:p>
    <w:p>
      <w:pPr>
        <w:pStyle w:val="Heading1"/>
      </w:pPr>
      <w:r>
        <w:t>14. Explicitly not implemented</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Feature people may expect</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Current code status</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RSI, MACD, moving-average crossovers, Bollinger Bands, stochastic, Supertrend or candlestick-pattern scoring</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Not implemented as decision indicators. The implemented technical checks are OI/PCR, futures VWAP, ORB, gap and CPR-width contribution to confidence.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Historically calibrated/validated probability model, Bayesian model or machine-learning predictor</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Not implemented. Probability is a fixed formula of OI wall base plus fixed 5 pp signal nudges; source comments say the volatility-confidence blend is not backtested/verified.</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Statistical probability of an absolute move, or empirical chance of a trade winning</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Not implemented. The label is an upside/downside score split, and expected move is a separate magnitude estimate.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Option Greeks, contract-specific implied volatility/skew, theta decay projection or payoff simulation</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Not implemented in the decision path.</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Bid/ask spread, market impact, slippage model or broker-fill simulation</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Not implemented. Orders are market orders; normal-run entry P&amp;L uses tick/quote LTP rather than broker-confirmed fill average.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Broker-side stop loss or take-profit order</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Not implemented. FYERS entry orders send zero stopLoss/takeProfit; exits are triggered by the running application monitor.</w:t>
            </w:r>
          </w:p>
        </w:tc>
      </w:tr>
      <w:tr>
        <w:trPr>
          <w:cantSplit/>
        </w:trPr>
        <w:tc>
          <w:tcPr>
            <w:tcW w:type="dxa" w:w="4917"/>
            <w:vAlign w:val="center"/>
            <w:tcMar>
              <w:top w:w="80" w:type="dxa"/>
              <w:start w:w="95" w:type="dxa"/>
              <w:bottom w:w="80" w:type="dxa"/>
              <w:end w:w="95" w:type="dxa"/>
            </w:tcMar>
          </w:tcPr>
          <w:p>
            <w:pPr>
              <w:spacing w:after="0" w:line="240" w:lineRule="auto"/>
            </w:pPr>
            <w:r>
              <w:t>FYERS account activity sync and charge/P&amp;L reconciliation</w:t>
            </w:r>
            <w:r>
              <w:rPr>
                <w:rFonts w:ascii="Arial" w:hAnsi="Arial"/>
                <w:b w:val="0"/>
                <w:color w:val="263746"/>
                <w:sz w:val="16"/>
              </w:rPr>
            </w:r>
          </w:p>
        </w:tc>
        <w:tc>
          <w:tcPr>
            <w:tcW w:type="dxa" w:w="4917"/>
            <w:vAlign w:val="center"/>
            <w:tcMar>
              <w:top w:w="80" w:type="dxa"/>
              <w:start w:w="95" w:type="dxa"/>
              <w:bottom w:w="80" w:type="dxa"/>
              <w:end w:w="95" w:type="dxa"/>
            </w:tcMar>
          </w:tcPr>
          <w:p>
            <w:pPr>
              <w:spacing w:after="0" w:line="240" w:lineRule="auto"/>
            </w:pPr>
            <w:r>
              <w:t>Not implemented. The separate account activity and charges feature was removed. Recommendation outcomes remain signal analytics, not executed trades or realized P&amp;L.</w:t>
            </w:r>
            <w:r>
              <w:rPr>
                <w:rFonts w:ascii="Arial" w:hAnsi="Arial"/>
                <w:b w:val="0"/>
                <w:color w:val="263746"/>
                <w:sz w:val="16"/>
              </w:rPr>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AI confidence score, source verification or sentiment ensemble across providers</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Not implemented. One provider is selected; output has a category/reason and errors become NEUTRAL.</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Proxy routing from the Advanced Proxy form</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Not implemented by current FYERS/AI request clients; values are saved but not applied.</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Universe beyond the four UI indices</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Not configurable in the current index dropdown. Other instruments are not implemented through the current UI selection.</w:t>
            </w:r>
          </w:p>
        </w:tc>
      </w:tr>
    </w:tbl>
    <w:p>
      <w:pPr>
        <w:spacing w:after="20"/>
      </w:pPr>
    </w:p>
    <w:p>
      <w:pPr>
        <w:pStyle w:val="Heading1"/>
      </w:pPr>
      <w:r>
        <w:t>15. Source files for further engineering</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File</w:t>
            </w:r>
          </w:p>
        </w:tc>
        <w:tc>
          <w:tcPr>
            <w:tcW w:type="dxa" w:w="4917"/>
            <w:vAlign w:val="center"/>
            <w:tcMar>
              <w:top w:w="80" w:type="dxa"/>
              <w:start w:w="95" w:type="dxa"/>
              <w:bottom w:w="80" w:type="dxa"/>
              <w:end w:w="95" w:type="dxa"/>
            </w:tcMar>
            <w:shd w:fill="17324D"/>
          </w:tcPr>
          <w:p>
            <w:pPr>
              <w:spacing w:after="0" w:line="240" w:lineRule="auto"/>
            </w:pPr>
            <w:r/>
            <w:r>
              <w:rPr>
                <w:rFonts w:ascii="Arial" w:hAnsi="Arial"/>
                <w:b/>
                <w:color w:val="FFFFFF"/>
                <w:sz w:val="16"/>
              </w:rPr>
              <w:t>Responsibility</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app.py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Flask routes, dashboard authentication, Socket.IO relay, settings/mode, analysis thread, background journal sync, recommendation outcome updates.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app_config.py</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Environment overlay, settings defaults/loading, secret exclusion and persistence.</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fyers_client.py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FYERS OAuth/token cache, symbol master, option chain matching, quotes, histories, WebSocket, order placement, market status, positions and journal endpoints.</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engine.py</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Instrument universe, OI fallback/change, indicator orchestration, final event, entry sizing, monitoring, exits, restart reconciliation.</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option_signal.py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Pure formulas for strike spacing/ATM, PCR/OI bias, VWAP bias, ORB, CPR, gap, expected move, OI walls, probabilities, momentum and confidence.</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decision.py</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Final CALL/PUT/BOTH/NO_TRADE truth table.</w:t>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ai_sentiment.py</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Prompt, Tavily query, Gemini/Claude/OpenAI calls, JSON parsing and neutral fallback.</w:t>
            </w:r>
          </w:p>
        </w:tc>
      </w:tr>
      <w:tr>
        <w:trPr>
          <w:cantSplit/>
        </w:trPr>
        <w:tc>
          <w:tcPr>
            <w:tcW w:type="dxa" w:w="4917"/>
            <w:vAlign w:val="center"/>
            <w:tcMar>
              <w:top w:w="80" w:type="dxa"/>
              <w:start w:w="95" w:type="dxa"/>
              <w:bottom w:w="80" w:type="dxa"/>
              <w:end w:w="95" w:type="dxa"/>
            </w:tcMar>
            <w:shd w:fill="F4F7F9"/>
          </w:tcPr>
          <w:p>
            <w:pPr>
              <w:spacing w:after="0" w:line="240" w:lineRule="auto"/>
            </w:pPr>
            <w:r>
              <w:t>trading_journal.py</w:t>
            </w:r>
            <w:r>
              <w:rPr>
                <w:rFonts w:ascii="Arial" w:hAnsi="Arial"/>
                <w:b w:val="0"/>
                <w:color w:val="263746"/>
                <w:sz w:val="16"/>
              </w:rPr>
            </w:r>
          </w:p>
        </w:tc>
        <w:tc>
          <w:tcPr>
            <w:tcW w:type="dxa" w:w="4917"/>
            <w:vAlign w:val="center"/>
            <w:tcMar>
              <w:top w:w="80" w:type="dxa"/>
              <w:start w:w="95" w:type="dxa"/>
              <w:bottom w:w="80" w:type="dxa"/>
              <w:end w:w="95" w:type="dxa"/>
            </w:tcMar>
            <w:shd w:fill="F4F7F9"/>
          </w:tcPr>
          <w:p>
            <w:pPr>
              <w:spacing w:after="0" w:line="240" w:lineRule="auto"/>
            </w:pPr>
            <w:r>
              <w:t>SQLite schema and storage for recommendation snapshots, outcomes and historical performance analytics.</w:t>
            </w:r>
            <w:r>
              <w:rPr>
                <w:rFonts w:ascii="Arial" w:hAnsi="Arial"/>
                <w:b w:val="0"/>
                <w:color w:val="263746"/>
                <w:sz w:val="16"/>
              </w:rPr>
            </w:r>
          </w:p>
        </w:tc>
      </w:tr>
      <w:tr>
        <w:trPr>
          <w:cantSplit/>
        </w:trPr>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templates/index.html and static/dashboard.js</w:t>
            </w:r>
          </w:p>
        </w:tc>
        <w:tc>
          <w:tcPr>
            <w:tcW w:type="dxa" w:w="4917"/>
            <w:vAlign w:val="center"/>
            <w:tcMar>
              <w:top w:w="80" w:type="dxa"/>
              <w:start w:w="95" w:type="dxa"/>
              <w:bottom w:w="80" w:type="dxa"/>
              <w:end w:w="95" w:type="dxa"/>
            </w:tcMar>
          </w:tcPr>
          <w:p>
            <w:pPr>
              <w:spacing w:after="0" w:line="240" w:lineRule="auto"/>
            </w:pPr>
            <w:r/>
            <w:r>
              <w:rPr>
                <w:rFonts w:ascii="Arial" w:hAnsi="Arial"/>
                <w:b w:val="0"/>
                <w:color w:val="263746"/>
                <w:sz w:val="16"/>
              </w:rPr>
              <w:t>Dashboard controls, cards, signal chips, charts, positions, logs and journal presentation.</w:t>
            </w:r>
          </w:p>
        </w:tc>
      </w:tr>
      <w:tr>
        <w:trPr>
          <w:cantSplit/>
        </w:trPr>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settings.example.json and .env.example</w:t>
            </w:r>
          </w:p>
        </w:tc>
        <w:tc>
          <w:tcPr>
            <w:tcW w:type="dxa" w:w="4917"/>
            <w:vAlign w:val="center"/>
            <w:tcMar>
              <w:top w:w="80" w:type="dxa"/>
              <w:start w:w="95" w:type="dxa"/>
              <w:bottom w:w="80" w:type="dxa"/>
              <w:end w:w="95" w:type="dxa"/>
            </w:tcMar>
            <w:shd w:fill="F4F7F9"/>
          </w:tcPr>
          <w:p>
            <w:pPr>
              <w:spacing w:after="0" w:line="240" w:lineRule="auto"/>
            </w:pPr>
            <w:r/>
            <w:r>
              <w:rPr>
                <w:rFonts w:ascii="Arial" w:hAnsi="Arial"/>
                <w:b w:val="0"/>
                <w:color w:val="263746"/>
                <w:sz w:val="16"/>
              </w:rPr>
              <w:t>Illustrative defaults and environment-variable names; production values may differ.</w:t>
            </w:r>
          </w:p>
        </w:tc>
      </w:tr>
      <w:tr>
        <w:tc>
          <w:tcPr>
            <w:tcW w:type="dxa" w:w="4917"/>
          </w:tcPr>
          <w:p>
            <w:r>
              <w:t>deploy_oracle.ps1</w:t>
            </w:r>
          </w:p>
        </w:tc>
        <w:tc>
          <w:tcPr>
            <w:tcW w:type="dxa" w:w="4917"/>
          </w:tcPr>
          <w:p>
            <w:r>
              <w:t>Windows PowerShell staging upload and Oracle VM application restart.</w:t>
            </w:r>
          </w:p>
        </w:tc>
      </w:tr>
    </w:tbl>
    <w:p>
      <w:pPr>
        <w:spacing w:after="20"/>
      </w:pPr>
    </w:p>
    <w:p>
      <w:pPr>
        <w:pStyle w:val="Heading2"/>
      </w:pPr>
      <w:r>
        <w:t>Oracle Cloud deployment from Windows</w:t>
      </w:r>
    </w:p>
    <w:p>
      <w:pPr/>
      <w:r>
        <w:t>The repository includes deploy_oracle.ps1. Run it from the project folder in PowerShell to stage and upload the listed Python modules, requirements.txt, settings.example.json, run.sh, templates and static files over SSH/SCP, then restart through run.sh. It excludes .env, settings.json, token.json, logs, SQLite databases, tests and documents. The upload overlays those paths and does not delete unrelated VM files. The script requires an existing /home/opc/algo_ai/.venv/bin/activate and aborts before replacing application files if it is missing. It sources the venv activation before running run.sh, so dependency installation and app startup use the VM virtual environment. It accepts -SshKey, -Remote and -RemoteDir overrides and writes a timestamped log under the VM logs directory.</w:t>
      </w:r>
    </w:p>
    <w:p>
      <w:pPr>
        <w:pStyle w:val="Heading1"/>
      </w:pPr>
      <w:r>
        <w:t>Closing model</w:t>
      </w:r>
    </w:p>
    <w:p>
      <w:r>
        <w:t>For every full analysis, the data path is: FYERS snapshots/history/ticks -&gt; option and technical calculations -&gt; OI-wall base split -&gt; seven fixed probability nudges -&gt; final filters -&gt; optional ATM BUY order(s) -&gt; application-side tick/P&amp;L/time monitor -&gt; FYERS broker sync and SQLite journal. Any engineering change should preserve the distinction between direction score, expected range, volatility confidence, technical majority, and execution state; they are different values with different consumers.</w:t>
      </w:r>
    </w:p>
    <w:sectPr w:rsidR="00FC693F" w:rsidRPr="0006063C" w:rsidSect="00034616">
      <w:headerReference w:type="default" r:id="rId9"/>
      <w:footerReference w:type="default" r:id="rId10"/>
      <w:pgSz w:w="11909" w:h="16848"/>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Code behavior reviewed 7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A6B78"/>
        <w:sz w:val="15"/>
      </w:rPr>
      <w:t>FYERS INDEX OPTIONS ENGINE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17C83"/>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00"/>
    </w:pPr>
    <w:rPr>
      <w:rFonts w:asciiTheme="majorHAnsi" w:eastAsiaTheme="majorEastAsia" w:hAnsiTheme="majorHAnsi" w:cstheme="majorBidi" w:ascii="Arial" w:hAnsi="Arial"/>
      <w:b w:val="0"/>
      <w:i/>
      <w:iCs/>
      <w:color w:val="5A6B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173" w:right="173"/>
    </w:pPr>
    <w:rPr>
      <w:rFonts w:ascii="Consolas" w:hAnsi="Consolas"/>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Workflow and Decision Logic</dc:title>
  <dc:subject>Code-based explanation of the FYERS index options application</dc:subject>
  <dc:creator>Codex</dc:creator>
  <cp:keywords>FYERS, options, workflow, probability, signals, trading journal</cp:keywords>
  <dc:description>generated by python-docx</dc:description>
  <cp:lastModifiedBy/>
  <cp:revision>1</cp:revision>
  <dcterms:created xsi:type="dcterms:W3CDTF">2013-12-23T23:15:00Z</dcterms:created>
  <dcterms:modified xsi:type="dcterms:W3CDTF">2013-12-23T23:15:00Z</dcterms:modified>
  <cp:category/>
</cp:coreProperties>
</file>