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rPr>
          <w:rFonts w:ascii="Times New Roman" w:hAnsi="Times New Roman" w:cs="Times New Roman"/>
          <w:sz w:val="28"/>
          <w:szCs w:val="28"/>
        </w:rPr>
      </w:pPr>
      <w:r>
        <w:rPr>
          <w:rFonts w:cs="Times New Roman" w:ascii="Times New Roman" w:hAnsi="Times New Roman"/>
          <w:sz w:val="28"/>
          <w:szCs w:val="28"/>
        </w:rPr>
      </w:r>
      <w:bookmarkStart w:id="0" w:name="_Hlk173059021"/>
      <w:bookmarkStart w:id="1" w:name="_Hlk208907756"/>
      <w:bookmarkStart w:id="2" w:name="_Hlk208908460"/>
    </w:p>
    <w:p>
      <w:pPr>
        <w:pStyle w:val="Normal"/>
        <w:spacing w:lineRule="auto" w:line="276" w:before="0" w:after="0"/>
        <w:jc w:val="center"/>
        <w:rPr>
          <w:rFonts w:ascii="Times New Roman" w:hAnsi="Times New Roman" w:cs="Times New Roman"/>
          <w:b/>
          <w:bCs/>
          <w:sz w:val="10"/>
          <w:szCs w:val="10"/>
        </w:rPr>
      </w:pPr>
      <w:r>
        <w:rPr>
          <w:rFonts w:cs="Times New Roman" w:ascii="Times New Roman" w:hAnsi="Times New Roman"/>
          <w:b/>
          <w:bCs/>
          <w:sz w:val="10"/>
          <w:szCs w:val="10"/>
        </w:rPr>
      </w:r>
    </w:p>
    <w:p>
      <w:pPr>
        <w:pStyle w:val="Normal"/>
        <w:spacing w:before="0" w:after="0"/>
        <w:rPr>
          <w:rFonts w:ascii="Times New Roman" w:hAnsi="Times New Roman" w:cs="Times New Roman"/>
          <w:b/>
          <w:bCs/>
          <w:vanish/>
          <w:sz w:val="10"/>
          <w:szCs w:val="10"/>
        </w:rPr>
      </w:pPr>
      <w:r>
        <w:rPr>
          <w:rFonts w:cs="Times New Roman" w:ascii="Times New Roman" w:hAnsi="Times New Roman"/>
          <w:b/>
          <w:bCs/>
          <w:vanish/>
          <w:sz w:val="10"/>
          <w:szCs w:val="10"/>
        </w:rPr>
      </w:r>
      <w:bookmarkStart w:id="3" w:name="_Hlk173059259"/>
      <w:bookmarkEnd w:id="0"/>
    </w:p>
    <w:p>
      <w:pPr>
        <w:pStyle w:val="Normal"/>
        <w:tabs>
          <w:tab w:val="clear" w:pos="720"/>
          <w:tab w:val="right" w:pos="8640" w:leader="none"/>
        </w:tabs>
        <w:bidi w:val="1"/>
        <w:spacing w:lineRule="auto" w:line="276" w:before="0" w:after="0"/>
        <w:ind w:end="0"/>
        <w:jc w:val="center"/>
        <w:rPr>
          <w:rFonts w:ascii="Simplified Arabic" w:hAnsi="Simplified Arabic" w:cs="Simplified Arabic"/>
          <w:b/>
          <w:bCs/>
          <w:sz w:val="32"/>
          <w:szCs w:val="32"/>
          <w:lang w:bidi="ar-IQ"/>
        </w:rPr>
      </w:pPr>
      <w:bookmarkEnd w:id="1"/>
      <w:bookmarkEnd w:id="2"/>
      <w:bookmarkEnd w:id="3"/>
      <w:r>
        <w:rPr>
          <w:rFonts w:cs="Simplified Arabic" w:ascii="Simplified Arabic" w:hAnsi="Simplified Arabic"/>
          <w:b/>
          <w:bCs/>
          <w:sz w:val="32"/>
          <w:szCs w:val="32"/>
          <w:rtl w:val="true"/>
          <w:lang w:bidi="ar-IQ"/>
        </w:rPr>
        <w:t xml:space="preserve"> </w:t>
      </w:r>
      <w:r>
        <w:rPr>
          <w:rFonts w:ascii="Simplified Arabic" w:hAnsi="Simplified Arabic" w:cs="Simplified Arabic"/>
          <w:b/>
          <w:b/>
          <w:bCs/>
          <w:sz w:val="32"/>
          <w:szCs w:val="32"/>
          <w:rtl w:val="true"/>
        </w:rPr>
        <w:t>أدوات التعريف والتنكير في الأخبار الاقتصادية الإنجليزية</w:t>
      </w:r>
      <w:r>
        <w:rPr>
          <w:rFonts w:cs="Simplified Arabic" w:ascii="Simplified Arabic" w:hAnsi="Simplified Arabic"/>
          <w:b/>
          <w:bCs/>
          <w:sz w:val="32"/>
          <w:szCs w:val="32"/>
          <w:rtl w:val="true"/>
        </w:rPr>
        <w:t xml:space="preserve">: </w:t>
      </w:r>
      <w:r>
        <w:rPr>
          <w:rFonts w:ascii="Simplified Arabic" w:hAnsi="Simplified Arabic" w:cs="Simplified Arabic"/>
          <w:b/>
          <w:b/>
          <w:bCs/>
          <w:sz w:val="32"/>
          <w:szCs w:val="32"/>
          <w:rtl w:val="true"/>
        </w:rPr>
        <w:t>دراسة قائمة على المتون اللغوية لأنماط الإحالة الدلالية</w:t>
      </w:r>
    </w:p>
    <w:p>
      <w:pPr>
        <w:pStyle w:val="Normal"/>
        <w:tabs>
          <w:tab w:val="clear" w:pos="720"/>
          <w:tab w:val="right" w:pos="8640" w:leader="none"/>
        </w:tabs>
        <w:bidi w:val="1"/>
        <w:spacing w:lineRule="auto" w:line="276" w:before="0" w:after="0"/>
        <w:ind w:end="0"/>
        <w:jc w:val="start"/>
        <w:rPr>
          <w:rFonts w:ascii="Simplified Arabic" w:hAnsi="Simplified Arabic" w:cs="Simplified Arabic"/>
          <w:b/>
          <w:bCs/>
          <w:sz w:val="28"/>
          <w:szCs w:val="28"/>
          <w:lang w:bidi="ar-IQ"/>
        </w:rPr>
      </w:pPr>
      <w:r>
        <w:rPr>
          <w:rFonts w:cs="Simplified Arabic" w:hint="cs" w:ascii="Simplified Arabic" w:hAnsi="Simplified Arabic"/>
          <w:b/>
          <w:bCs/>
          <w:sz w:val="28"/>
          <w:szCs w:val="28"/>
          <w:rtl w:val="true"/>
          <w:lang w:bidi="ckb-IQ"/>
        </w:rPr>
        <w:t xml:space="preserve">          </w:t>
      </w:r>
      <w:r>
        <w:rPr>
          <w:rFonts w:ascii="Simplified Arabic" w:hAnsi="Simplified Arabic" w:hint="cs" w:cs="Simplified Arabic"/>
          <w:b/>
          <w:b/>
          <w:bCs/>
          <w:sz w:val="28"/>
          <w:szCs w:val="28"/>
          <w:rtl w:val="true"/>
          <w:lang w:bidi="ckb-IQ"/>
        </w:rPr>
        <w:t>نەبەزمحمدسعید</w:t>
      </w:r>
      <w:r>
        <w:rPr>
          <w:rFonts w:ascii="Simplified Arabic" w:hAnsi="Simplified Arabic" w:hint="cs" w:cs="Simplified Arabic"/>
          <w:b/>
          <w:b/>
          <w:bCs/>
          <w:sz w:val="28"/>
          <w:szCs w:val="28"/>
          <w:vertAlign w:val="superscript"/>
          <w:lang w:bidi="ckb-IQ"/>
        </w:rPr>
        <w:t>١</w:t>
      </w:r>
      <w:r>
        <w:rPr>
          <w:rFonts w:ascii="Simplified Arabic" w:hAnsi="Simplified Arabic" w:cs="Simplified Arabic"/>
          <w:b/>
          <w:b/>
          <w:bCs/>
          <w:sz w:val="28"/>
          <w:szCs w:val="28"/>
          <w:rtl w:val="true"/>
          <w:lang w:bidi="ar-IQ"/>
        </w:rPr>
        <w:t xml:space="preserve">     </w:t>
      </w:r>
      <w:r>
        <w:rPr>
          <w:rFonts w:ascii="Simplified Arabic" w:hAnsi="Simplified Arabic" w:hint="cs" w:cs="Simplified Arabic"/>
          <w:b/>
          <w:b/>
          <w:bCs/>
          <w:sz w:val="28"/>
          <w:szCs w:val="28"/>
          <w:rtl w:val="true"/>
          <w:lang w:bidi="ar-IQ"/>
        </w:rPr>
        <w:t xml:space="preserve">       </w:t>
      </w:r>
      <w:r>
        <w:rPr>
          <w:rFonts w:ascii="Simplified Arabic" w:hAnsi="Simplified Arabic" w:cs="Simplified Arabic"/>
          <w:b/>
          <w:b/>
          <w:bCs/>
          <w:sz w:val="28"/>
          <w:szCs w:val="28"/>
          <w:rtl w:val="true"/>
          <w:lang w:bidi="ar-IQ"/>
        </w:rPr>
        <w:t xml:space="preserve"> </w:t>
      </w:r>
      <w:r>
        <w:rPr>
          <w:rFonts w:ascii="Simplified Arabic" w:hAnsi="Simplified Arabic" w:hint="cs" w:cs="Simplified Arabic"/>
          <w:b/>
          <w:b/>
          <w:bCs/>
          <w:sz w:val="28"/>
          <w:szCs w:val="28"/>
          <w:rtl w:val="true"/>
          <w:lang w:bidi="ar-IQ"/>
        </w:rPr>
        <w:t xml:space="preserve">     </w:t>
      </w:r>
      <w:r>
        <w:rPr>
          <w:rFonts w:ascii="Simplified Arabic" w:hAnsi="Simplified Arabic" w:cs="Simplified Arabic"/>
          <w:b/>
          <w:b/>
          <w:bCs/>
          <w:sz w:val="28"/>
          <w:szCs w:val="28"/>
          <w:rtl w:val="true"/>
          <w:lang w:bidi="ar-IQ"/>
        </w:rPr>
        <w:t xml:space="preserve">  </w:t>
      </w:r>
      <w:r>
        <w:rPr>
          <w:rFonts w:ascii="Simplified Arabic" w:hAnsi="Simplified Arabic" w:hint="cs" w:cs="Simplified Arabic"/>
          <w:b/>
          <w:b/>
          <w:bCs/>
          <w:sz w:val="28"/>
          <w:szCs w:val="28"/>
          <w:rtl w:val="true"/>
          <w:lang w:bidi="ar-IQ"/>
        </w:rPr>
        <w:t xml:space="preserve"> صالح ابراهیم احمد</w:t>
      </w:r>
      <w:r>
        <w:rPr>
          <w:rFonts w:ascii="Simplified Arabic" w:hAnsi="Simplified Arabic" w:hint="cs" w:cs="Simplified Arabic"/>
          <w:b/>
          <w:b/>
          <w:bCs/>
          <w:sz w:val="28"/>
          <w:szCs w:val="28"/>
          <w:vertAlign w:val="superscript"/>
          <w:lang w:bidi="ar-IQ"/>
        </w:rPr>
        <w:t>٢</w:t>
      </w:r>
      <w:r>
        <w:rPr>
          <w:rFonts w:ascii="Simplified Arabic" w:hAnsi="Simplified Arabic" w:hint="cs" w:cs="Simplified Arabic"/>
          <w:b/>
          <w:b/>
          <w:bCs/>
          <w:sz w:val="28"/>
          <w:szCs w:val="28"/>
          <w:rtl w:val="true"/>
          <w:lang w:bidi="ar-IQ"/>
        </w:rPr>
        <w:t xml:space="preserve"> </w:t>
      </w:r>
    </w:p>
    <w:p>
      <w:pPr>
        <w:pStyle w:val="Normal"/>
        <w:tabs>
          <w:tab w:val="clear" w:pos="720"/>
          <w:tab w:val="right" w:pos="8640" w:leader="none"/>
        </w:tabs>
        <w:bidi w:val="1"/>
        <w:spacing w:lineRule="auto" w:line="276" w:before="0" w:after="0"/>
        <w:ind w:end="0"/>
        <w:jc w:val="start"/>
        <w:rPr>
          <w:rFonts w:ascii="Simplified Arabic" w:hAnsi="Simplified Arabic" w:cs="Simplified Arabic"/>
          <w:b/>
          <w:bCs/>
          <w:sz w:val="28"/>
          <w:szCs w:val="28"/>
          <w:lang w:bidi="ar-IQ"/>
        </w:rPr>
      </w:pPr>
      <w:hyperlink r:id="rId2">
        <w:r>
          <w:rPr>
            <w:rStyle w:val="Hyperlink"/>
            <w:rFonts w:cs="Times New Roman" w:ascii="Times New Roman" w:hAnsi="Times New Roman"/>
            <w:b/>
            <w:bCs/>
            <w:i/>
            <w:iCs/>
            <w:kern w:val="0"/>
            <w:sz w:val="20"/>
            <w:szCs w:val="20"/>
            <w:lang w:val="en"/>
          </w:rPr>
          <w:t>nabaz.431624001@uor.edu.krd</w:t>
        </w:r>
      </w:hyperlink>
      <w:r>
        <w:rPr>
          <w:rFonts w:cs="Times New Roman" w:hint="cs" w:ascii="Times New Roman" w:hAnsi="Times New Roman"/>
          <w:b/>
          <w:bCs/>
          <w:i/>
          <w:iCs/>
          <w:kern w:val="0"/>
          <w:sz w:val="20"/>
          <w:szCs w:val="20"/>
        </w:rPr>
        <w:t xml:space="preserve">                </w:t>
      </w:r>
      <w:r>
        <w:rPr>
          <w:rFonts w:cs="Times New Roman" w:ascii="Times New Roman" w:hAnsi="Times New Roman"/>
          <w:b/>
          <w:bCs/>
          <w:i/>
          <w:iCs/>
          <w:kern w:val="0"/>
          <w:sz w:val="20"/>
          <w:szCs w:val="20"/>
        </w:rPr>
        <w:t xml:space="preserve">     </w:t>
      </w:r>
      <w:r>
        <w:rPr>
          <w:rFonts w:cs="Times New Roman" w:hint="cs" w:ascii="Times New Roman" w:hAnsi="Times New Roman"/>
          <w:b/>
          <w:bCs/>
          <w:i/>
          <w:iCs/>
          <w:kern w:val="0"/>
          <w:sz w:val="20"/>
          <w:szCs w:val="20"/>
        </w:rPr>
        <w:t xml:space="preserve">          </w:t>
      </w:r>
      <w:hyperlink r:id="rId3">
        <w:r>
          <w:rPr>
            <w:rStyle w:val="Hyperlink"/>
            <w:rFonts w:cs="Times New Roman" w:ascii="Times New Roman" w:hAnsi="Times New Roman"/>
            <w:b/>
            <w:bCs/>
            <w:i/>
            <w:iCs/>
            <w:kern w:val="0"/>
            <w:sz w:val="20"/>
            <w:szCs w:val="20"/>
            <w:lang w:val="en"/>
          </w:rPr>
          <w:t>salih.ahmed@uor.edu.krd</w:t>
        </w:r>
      </w:hyperlink>
    </w:p>
    <w:p>
      <w:pPr>
        <w:pStyle w:val="Normal"/>
        <w:tabs>
          <w:tab w:val="clear" w:pos="720"/>
          <w:tab w:val="right" w:pos="8640" w:leader="none"/>
        </w:tabs>
        <w:bidi w:val="1"/>
        <w:spacing w:lineRule="auto" w:line="276" w:before="0" w:after="0"/>
        <w:ind w:end="0"/>
        <w:jc w:val="start"/>
        <w:rPr>
          <w:rFonts w:ascii="Simplified Arabic" w:hAnsi="Simplified Arabic" w:cs="Simplified Arabic"/>
          <w:b/>
          <w:bCs/>
          <w:sz w:val="28"/>
          <w:szCs w:val="28"/>
          <w:lang w:bidi="ar-IQ"/>
        </w:rPr>
      </w:pPr>
      <w:r>
        <w:rPr>
          <w:rFonts w:cs="Simplified Arabic" w:hint="cs" w:ascii="Simplified Arabic" w:hAnsi="Simplified Arabic"/>
          <w:b/>
          <w:bCs/>
          <w:sz w:val="28"/>
          <w:szCs w:val="28"/>
          <w:rtl w:val="true"/>
          <w:lang w:bidi="ar-IQ"/>
        </w:rPr>
        <w:t xml:space="preserve">  </w:t>
      </w:r>
      <w:r>
        <w:rPr>
          <w:rFonts w:ascii="Simplified Arabic" w:hAnsi="Simplified Arabic" w:cs="Simplified Arabic"/>
          <w:b/>
          <w:b/>
          <w:bCs/>
          <w:sz w:val="28"/>
          <w:szCs w:val="28"/>
        </w:rPr>
        <w:t>١</w:t>
      </w:r>
      <w:r>
        <w:rPr>
          <w:rFonts w:ascii="Simplified Arabic" w:hAnsi="Simplified Arabic" w:cs="Simplified Arabic"/>
          <w:b/>
          <w:b/>
          <w:bCs/>
          <w:sz w:val="28"/>
          <w:szCs w:val="28"/>
          <w:rtl w:val="true"/>
          <w:lang w:bidi="ar-IQ"/>
        </w:rPr>
        <w:t xml:space="preserve"> </w:t>
      </w:r>
      <w:r>
        <w:rPr>
          <w:rFonts w:ascii="Simplified Arabic" w:hAnsi="Simplified Arabic" w:cs="Simplified Arabic"/>
          <w:b/>
          <w:b/>
          <w:bCs/>
          <w:sz w:val="28"/>
          <w:szCs w:val="28"/>
          <w:rtl w:val="true"/>
        </w:rPr>
        <w:t>جامعة رابرين، كلية التربية الأساسية، قسم اللغة الإنجليزية</w:t>
      </w:r>
      <w:r>
        <w:rPr>
          <w:rFonts w:ascii="Simplified Arabic" w:hAnsi="Simplified Arabic" w:hint="cs" w:cs="Simplified Arabic"/>
          <w:b/>
          <w:b/>
          <w:bCs/>
          <w:sz w:val="28"/>
          <w:szCs w:val="28"/>
          <w:rtl w:val="true"/>
        </w:rPr>
        <w:t xml:space="preserve"> ،السلیمانیة، العراق</w:t>
      </w:r>
    </w:p>
    <w:p>
      <w:pPr>
        <w:pStyle w:val="Normal"/>
        <w:tabs>
          <w:tab w:val="clear" w:pos="720"/>
          <w:tab w:val="right" w:pos="8640" w:leader="none"/>
        </w:tabs>
        <w:bidi w:val="1"/>
        <w:spacing w:lineRule="auto" w:line="276" w:before="0" w:after="0"/>
        <w:ind w:end="0"/>
        <w:jc w:val="start"/>
        <w:rPr>
          <w:rFonts w:ascii="Simplified Arabic" w:hAnsi="Simplified Arabic" w:cs="Simplified Arabic"/>
          <w:b/>
          <w:bCs/>
          <w:sz w:val="28"/>
          <w:szCs w:val="28"/>
          <w:lang w:bidi="ar-IQ"/>
        </w:rPr>
      </w:pPr>
      <w:r>
        <w:rPr>
          <w:rFonts w:ascii="Simplified Arabic" w:hAnsi="Simplified Arabic" w:hint="cs" w:cs="Simplified Arabic"/>
          <w:b/>
          <w:b/>
          <w:bCs/>
          <w:sz w:val="28"/>
          <w:szCs w:val="28"/>
        </w:rPr>
        <w:t>٢</w:t>
      </w:r>
      <w:r>
        <w:rPr>
          <w:rFonts w:ascii="Simplified Arabic" w:hAnsi="Simplified Arabic" w:cs="Simplified Arabic"/>
          <w:b/>
          <w:b/>
          <w:bCs/>
          <w:sz w:val="28"/>
          <w:szCs w:val="28"/>
          <w:rtl w:val="true"/>
          <w:lang w:bidi="ar-IQ"/>
        </w:rPr>
        <w:t xml:space="preserve"> </w:t>
      </w:r>
      <w:r>
        <w:rPr>
          <w:rFonts w:ascii="Simplified Arabic" w:hAnsi="Simplified Arabic" w:cs="Simplified Arabic"/>
          <w:b/>
          <w:b/>
          <w:bCs/>
          <w:sz w:val="28"/>
          <w:szCs w:val="28"/>
          <w:rtl w:val="true"/>
        </w:rPr>
        <w:t xml:space="preserve">جامعة رابرين، كلية </w:t>
      </w:r>
      <w:r>
        <w:rPr>
          <w:rFonts w:ascii="Simplified Arabic" w:hAnsi="Simplified Arabic" w:hint="cs" w:cs="Simplified Arabic"/>
          <w:b/>
          <w:b/>
          <w:bCs/>
          <w:sz w:val="28"/>
          <w:szCs w:val="28"/>
          <w:rtl w:val="true"/>
        </w:rPr>
        <w:t>التربیة</w:t>
      </w:r>
      <w:r>
        <w:rPr>
          <w:rFonts w:ascii="Simplified Arabic" w:hAnsi="Simplified Arabic" w:cs="Simplified Arabic"/>
          <w:b/>
          <w:b/>
          <w:bCs/>
          <w:sz w:val="28"/>
          <w:szCs w:val="28"/>
          <w:rtl w:val="true"/>
        </w:rPr>
        <w:t>، قسم اللغة الإنجليزية</w:t>
      </w:r>
      <w:r>
        <w:rPr>
          <w:rFonts w:ascii="Simplified Arabic" w:hAnsi="Simplified Arabic" w:hint="cs" w:cs="Simplified Arabic"/>
          <w:b/>
          <w:b/>
          <w:bCs/>
          <w:sz w:val="28"/>
          <w:szCs w:val="28"/>
          <w:rtl w:val="true"/>
        </w:rPr>
        <w:t>،اربیل، العراق</w:t>
      </w:r>
    </w:p>
    <w:p>
      <w:pPr>
        <w:pStyle w:val="Normal"/>
        <w:tabs>
          <w:tab w:val="clear" w:pos="720"/>
          <w:tab w:val="right" w:pos="8640" w:leader="none"/>
        </w:tabs>
        <w:bidi w:val="1"/>
        <w:spacing w:lineRule="auto" w:line="276" w:before="0" w:after="0"/>
        <w:ind w:end="0"/>
        <w:jc w:val="center"/>
        <w:rPr>
          <w:rFonts w:ascii="Simplified Arabic" w:hAnsi="Simplified Arabic" w:cs="Simplified Arabic"/>
          <w:b/>
          <w:bCs/>
          <w:sz w:val="28"/>
          <w:szCs w:val="28"/>
          <w:lang w:bidi="ar-IQ"/>
        </w:rPr>
      </w:pPr>
      <w:r>
        <w:rPr>
          <w:rFonts w:cs="Simplified Arabic" w:hint="cs" w:ascii="Simplified Arabic" w:hAnsi="Simplified Arabic"/>
          <w:b/>
          <w:bCs/>
          <w:sz w:val="28"/>
          <w:szCs w:val="28"/>
          <w:rtl w:val="true"/>
          <w:lang w:bidi="ar-IQ"/>
        </w:rPr>
        <w:t xml:space="preserve">  </w:t>
      </w:r>
    </w:p>
    <w:p>
      <w:pPr>
        <w:pStyle w:val="Normal"/>
        <w:tabs>
          <w:tab w:val="clear" w:pos="720"/>
          <w:tab w:val="right" w:pos="8640" w:leader="none"/>
        </w:tabs>
        <w:bidi w:val="1"/>
        <w:spacing w:lineRule="auto" w:line="276" w:before="0" w:after="0"/>
        <w:ind w:end="0"/>
        <w:jc w:val="both"/>
        <w:rPr>
          <w:rFonts w:cs="Calibri"/>
          <w:sz w:val="32"/>
          <w:szCs w:val="32"/>
          <w:lang w:bidi="ar-IQ"/>
        </w:rPr>
      </w:pPr>
      <w:r>
        <w:rPr>
          <w:rFonts w:cs="Simplified Arabic" w:ascii="Simplified Arabic" w:hAnsi="Simplified Arabic"/>
          <w:b/>
          <w:bCs/>
          <w:sz w:val="32"/>
          <w:szCs w:val="32"/>
          <w:rtl w:val="true"/>
          <w:lang w:bidi="ar-IQ"/>
        </w:rPr>
        <w:t xml:space="preserve"> </w:t>
      </w:r>
      <w:r>
        <w:rPr>
          <w:rFonts w:ascii="Simplified Arabic" w:hAnsi="Simplified Arabic" w:cs="Simplified Arabic"/>
          <w:b/>
          <w:b/>
          <w:bCs/>
          <w:sz w:val="32"/>
          <w:szCs w:val="32"/>
          <w:rtl w:val="true"/>
        </w:rPr>
        <w:t>الملخّص</w:t>
      </w:r>
    </w:p>
    <w:p>
      <w:pPr>
        <w:pStyle w:val="Normal"/>
        <w:tabs>
          <w:tab w:val="clear" w:pos="720"/>
          <w:tab w:val="right" w:pos="8640" w:leader="none"/>
        </w:tabs>
        <w:bidi w:val="1"/>
        <w:spacing w:lineRule="auto" w:line="276" w:before="0" w:after="0"/>
        <w:ind w:end="0"/>
        <w:jc w:val="both"/>
        <w:rPr/>
      </w:pPr>
      <w:r>
        <w:rPr>
          <w:rFonts w:ascii="Simplified Arabic" w:hAnsi="Simplified Arabic" w:cs="Simplified Arabic"/>
          <w:sz w:val="28"/>
          <w:szCs w:val="28"/>
          <w:rtl w:val="true"/>
        </w:rPr>
        <w:t>تبحث هذه الدراسة في ظهور واستخدام أدوات التعريف</w:t>
      </w:r>
      <w:r>
        <w:rPr>
          <w:rFonts w:ascii="Simplified Arabic" w:hAnsi="Simplified Arabic" w:cs="Simplified Arabic"/>
          <w:sz w:val="28"/>
          <w:szCs w:val="28"/>
          <w:rtl w:val="true"/>
        </w:rPr>
        <w:t xml:space="preserve"> </w:t>
      </w:r>
      <w:r>
        <w:rPr>
          <w:rFonts w:cs="Simplified Arabic" w:ascii="Simplified Arabic" w:hAnsi="Simplified Arabic"/>
          <w:sz w:val="28"/>
          <w:szCs w:val="28"/>
          <w:rtl w:val="true"/>
        </w:rPr>
        <w:t>(</w:t>
      </w:r>
      <w:r>
        <w:rPr>
          <w:rFonts w:cs="Simplified Arabic" w:ascii="Simplified Arabic" w:hAnsi="Simplified Arabic"/>
          <w:sz w:val="28"/>
          <w:szCs w:val="28"/>
        </w:rPr>
        <w:t>the</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وأدوات التنكير</w:t>
      </w:r>
      <w:r>
        <w:rPr>
          <w:rFonts w:ascii="Simplified Arabic" w:hAnsi="Simplified Arabic" w:cs="Simplified Arabic"/>
          <w:sz w:val="28"/>
          <w:szCs w:val="28"/>
          <w:rtl w:val="true"/>
        </w:rPr>
        <w:t xml:space="preserve"> </w:t>
      </w:r>
      <w:r>
        <w:rPr>
          <w:rFonts w:cs="Simplified Arabic" w:ascii="Simplified Arabic" w:hAnsi="Simplified Arabic"/>
          <w:sz w:val="28"/>
          <w:szCs w:val="28"/>
          <w:rtl w:val="true"/>
        </w:rPr>
        <w:t>(</w:t>
      </w:r>
      <w:r>
        <w:rPr>
          <w:rFonts w:cs="Simplified Arabic" w:ascii="Simplified Arabic" w:hAnsi="Simplified Arabic"/>
          <w:sz w:val="28"/>
          <w:szCs w:val="28"/>
        </w:rPr>
        <w:t>a/an</w:t>
      </w:r>
      <w:r>
        <w:rPr>
          <w:rFonts w:cs="Simplified Arabic" w:ascii="Simplified Arabic" w:hAnsi="Simplified Arabic"/>
          <w:sz w:val="28"/>
          <w:szCs w:val="28"/>
          <w:rtl w:val="true"/>
        </w:rPr>
        <w:t>)</w:t>
      </w:r>
      <w:r>
        <w:rPr>
          <w:rFonts w:ascii="Simplified Arabic" w:hAnsi="Simplified Arabic" w:cs="Simplified Arabic"/>
          <w:sz w:val="28"/>
          <w:szCs w:val="28"/>
          <w:rtl w:val="true"/>
        </w:rPr>
        <w:t>، مع تحديد أنواع الإشارة الدلالية الخاصة بها</w:t>
      </w:r>
      <w:r>
        <w:rPr>
          <w:rFonts w:ascii="Simplified Arabic" w:hAnsi="Simplified Arabic" w:cs="Simplified Arabic"/>
          <w:sz w:val="28"/>
          <w:szCs w:val="28"/>
          <w:rtl w:val="true"/>
        </w:rPr>
        <w:t xml:space="preserve"> </w:t>
      </w:r>
      <w:r>
        <w:rPr>
          <w:rFonts w:cs="Simplified Arabic" w:ascii="Simplified Arabic" w:hAnsi="Simplified Arabic"/>
          <w:sz w:val="28"/>
          <w:szCs w:val="28"/>
          <w:rtl w:val="true"/>
        </w:rPr>
        <w:t>(</w:t>
      </w:r>
      <w:r>
        <w:rPr>
          <w:rFonts w:cs="Simplified Arabic" w:ascii="Simplified Arabic" w:hAnsi="Simplified Arabic"/>
          <w:sz w:val="28"/>
          <w:szCs w:val="28"/>
        </w:rPr>
        <w:t>Reference Types</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في الأخبار الاقتصادية باللغة الإنجليزية</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وتستند الدراسة إلى قلة الأبحاث اللغوية والدراسات السابقة في هذا المجال، ولا سيما في سياق الأخبار الاقتصادية باللغة الإنجليزية</w:t>
      </w:r>
      <w:r>
        <w:rPr>
          <w:rFonts w:cs="Simplified Arabic" w:ascii="Simplified Arabic" w:hAnsi="Simplified Arabic"/>
          <w:sz w:val="28"/>
          <w:szCs w:val="28"/>
          <w:rtl w:val="true"/>
        </w:rPr>
        <w:t>.</w:t>
      </w:r>
    </w:p>
    <w:p>
      <w:pPr>
        <w:pStyle w:val="Normal"/>
        <w:tabs>
          <w:tab w:val="clear" w:pos="720"/>
          <w:tab w:val="right" w:pos="8640" w:leader="none"/>
        </w:tabs>
        <w:bidi w:val="1"/>
        <w:spacing w:lineRule="auto" w:line="276" w:before="0" w:after="0"/>
        <w:ind w:end="0"/>
        <w:jc w:val="both"/>
        <w:rPr/>
      </w:pPr>
      <w:r>
        <w:rPr>
          <w:rFonts w:ascii="Simplified Arabic" w:hAnsi="Simplified Arabic" w:cs="Simplified Arabic"/>
          <w:sz w:val="28"/>
          <w:szCs w:val="28"/>
          <w:rtl w:val="true"/>
        </w:rPr>
        <w:t>تكشف الدراسة، بالاعتماد على أدلة أبحاث الكوربس، عن كيفية ظهور هذه الأدوات، سواء المعرفة أو غير المعرفة، في مجال الصحافة المهنية وصياغة الأخبار الاقتصادية، وعن كيفية توظيف أنواع الإشارة الدلالية الخاصة بها في تنظيم المعنى المحدد، والخاص، والعام</w:t>
      </w:r>
      <w:r>
        <w:rPr>
          <w:rFonts w:cs="Simplified Arabic" w:ascii="Simplified Arabic" w:hAnsi="Simplified Arabic"/>
          <w:sz w:val="28"/>
          <w:szCs w:val="28"/>
          <w:rtl w:val="true"/>
        </w:rPr>
        <w:t>.</w:t>
      </w:r>
    </w:p>
    <w:p>
      <w:pPr>
        <w:pStyle w:val="Normal"/>
        <w:tabs>
          <w:tab w:val="clear" w:pos="720"/>
          <w:tab w:val="right" w:pos="8640" w:leader="none"/>
        </w:tabs>
        <w:bidi w:val="1"/>
        <w:spacing w:lineRule="auto" w:line="276" w:before="0" w:after="0"/>
        <w:ind w:end="0"/>
        <w:jc w:val="both"/>
        <w:rPr/>
      </w:pPr>
      <w:r>
        <w:rPr>
          <w:rFonts w:ascii="Simplified Arabic" w:hAnsi="Simplified Arabic" w:cs="Simplified Arabic"/>
          <w:sz w:val="28"/>
          <w:szCs w:val="28"/>
          <w:rtl w:val="true"/>
        </w:rPr>
        <w:t>اعتمدت هذه الدراسة على منهج مختلط، يجمع بين التحليل الكمي والنوعي، لدراسة ظهور وتكرار أدوات التعريف والتنكير في كوربس يتكوّن من مليون كلمة و</w:t>
      </w:r>
      <w:r>
        <w:rPr>
          <w:rFonts w:cs="Simplified Arabic" w:ascii="Simplified Arabic" w:hAnsi="Simplified Arabic"/>
          <w:sz w:val="28"/>
          <w:szCs w:val="28"/>
        </w:rPr>
        <w:t>1,174,893</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توكن</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وقد جُمعت الأخبار بين </w:t>
      </w:r>
      <w:r>
        <w:rPr>
          <w:rFonts w:cs="Simplified Arabic" w:ascii="Simplified Arabic" w:hAnsi="Simplified Arabic"/>
          <w:sz w:val="28"/>
          <w:szCs w:val="28"/>
        </w:rPr>
        <w:t>1</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يناير و</w:t>
      </w:r>
      <w:r>
        <w:rPr>
          <w:rFonts w:cs="Simplified Arabic" w:ascii="Simplified Arabic" w:hAnsi="Simplified Arabic"/>
          <w:sz w:val="28"/>
          <w:szCs w:val="28"/>
        </w:rPr>
        <w:t>31</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مارس </w:t>
      </w:r>
      <w:r>
        <w:rPr>
          <w:rFonts w:cs="Simplified Arabic" w:ascii="Simplified Arabic" w:hAnsi="Simplified Arabic"/>
          <w:sz w:val="28"/>
          <w:szCs w:val="28"/>
        </w:rPr>
        <w:t>2026</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من عشرة مصادر متخصصة في الأخبار الاقتصادية</w:t>
      </w:r>
      <w:r>
        <w:rPr>
          <w:rFonts w:cs="Simplified Arabic" w:ascii="Simplified Arabic" w:hAnsi="Simplified Arabic"/>
          <w:sz w:val="28"/>
          <w:szCs w:val="28"/>
          <w:rtl w:val="true"/>
        </w:rPr>
        <w:t>.</w:t>
      </w:r>
    </w:p>
    <w:p>
      <w:pPr>
        <w:pStyle w:val="Normal"/>
        <w:tabs>
          <w:tab w:val="clear" w:pos="720"/>
          <w:tab w:val="right" w:pos="8640" w:leader="none"/>
        </w:tabs>
        <w:bidi w:val="1"/>
        <w:spacing w:lineRule="auto" w:line="276" w:before="0" w:after="0"/>
        <w:ind w:end="0"/>
        <w:jc w:val="both"/>
        <w:rPr/>
      </w:pPr>
      <w:r>
        <w:rPr>
          <w:rFonts w:ascii="Simplified Arabic" w:hAnsi="Simplified Arabic" w:cs="Simplified Arabic"/>
          <w:sz w:val="28"/>
          <w:szCs w:val="28"/>
          <w:rtl w:val="true"/>
        </w:rPr>
        <w:t>تجيب هذه الدراسة عن سؤالين بحثيين رئيسيين</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ما الأدوات الأكثر تكرارًا من بين أدوات التعريف والتنكير؟ وما أنواع الإشارة الدلالية الأكثر استخدامًا في هذه الأدوات؟ وباستخدام برنامج</w:t>
      </w:r>
      <w:r>
        <w:rPr>
          <w:rFonts w:ascii="Simplified Arabic" w:hAnsi="Simplified Arabic" w:cs="Simplified Arabic"/>
          <w:sz w:val="28"/>
          <w:szCs w:val="28"/>
          <w:rtl w:val="true"/>
        </w:rPr>
        <w:t xml:space="preserve"> </w:t>
      </w:r>
      <w:r>
        <w:rPr>
          <w:rFonts w:cs="Simplified Arabic" w:ascii="Simplified Arabic" w:hAnsi="Simplified Arabic"/>
          <w:sz w:val="28"/>
          <w:szCs w:val="28"/>
        </w:rPr>
        <w:t>Sketch Engine</w:t>
      </w:r>
      <w:r>
        <w:rPr>
          <w:rFonts w:ascii="Simplified Arabic" w:hAnsi="Simplified Arabic" w:cs="Simplified Arabic"/>
          <w:sz w:val="28"/>
          <w:szCs w:val="28"/>
          <w:rtl w:val="true"/>
        </w:rPr>
        <w:t>، تم تطبيق منهج الترميز الدلالي</w:t>
      </w:r>
      <w:r>
        <w:rPr>
          <w:rFonts w:ascii="Simplified Arabic" w:hAnsi="Simplified Arabic" w:cs="Simplified Arabic"/>
          <w:sz w:val="28"/>
          <w:szCs w:val="28"/>
          <w:rtl w:val="true"/>
        </w:rPr>
        <w:t xml:space="preserve"> </w:t>
      </w:r>
      <w:r>
        <w:rPr>
          <w:rFonts w:cs="Simplified Arabic" w:ascii="Simplified Arabic" w:hAnsi="Simplified Arabic"/>
          <w:sz w:val="28"/>
          <w:szCs w:val="28"/>
          <w:rtl w:val="true"/>
        </w:rPr>
        <w:t>(</w:t>
      </w:r>
      <w:r>
        <w:rPr>
          <w:rFonts w:cs="Simplified Arabic" w:ascii="Simplified Arabic" w:hAnsi="Simplified Arabic"/>
          <w:sz w:val="28"/>
          <w:szCs w:val="28"/>
        </w:rPr>
        <w:t>Semantic Coding</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على </w:t>
      </w:r>
      <w:r>
        <w:rPr>
          <w:rFonts w:cs="Simplified Arabic" w:ascii="Simplified Arabic" w:hAnsi="Simplified Arabic"/>
          <w:sz w:val="28"/>
          <w:szCs w:val="28"/>
        </w:rPr>
        <w:t>2000</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عينة، شملت </w:t>
      </w:r>
      <w:r>
        <w:rPr>
          <w:rFonts w:cs="Simplified Arabic" w:ascii="Simplified Arabic" w:hAnsi="Simplified Arabic"/>
          <w:sz w:val="28"/>
          <w:szCs w:val="28"/>
        </w:rPr>
        <w:t>1,402</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إشارة خاصة، و</w:t>
      </w:r>
      <w:r>
        <w:rPr>
          <w:rFonts w:cs="Simplified Arabic" w:ascii="Simplified Arabic" w:hAnsi="Simplified Arabic"/>
          <w:sz w:val="28"/>
          <w:szCs w:val="28"/>
        </w:rPr>
        <w:t>598</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إشارة غير خاصة، و</w:t>
      </w:r>
      <w:r>
        <w:rPr>
          <w:rFonts w:cs="Simplified Arabic" w:ascii="Simplified Arabic" w:hAnsi="Simplified Arabic"/>
          <w:sz w:val="28"/>
          <w:szCs w:val="28"/>
        </w:rPr>
        <w:t>19</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إشارة عامة، و</w:t>
      </w:r>
      <w:r>
        <w:rPr>
          <w:rFonts w:cs="Simplified Arabic" w:ascii="Simplified Arabic" w:hAnsi="Simplified Arabic"/>
          <w:sz w:val="28"/>
          <w:szCs w:val="28"/>
        </w:rPr>
        <w:t>1,981</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إشارة دلالية غير عامة</w:t>
      </w:r>
      <w:r>
        <w:rPr>
          <w:rFonts w:ascii="Simplified Arabic" w:hAnsi="Simplified Arabic" w:cs="Simplified Arabic"/>
          <w:sz w:val="28"/>
          <w:szCs w:val="28"/>
          <w:rtl w:val="true"/>
        </w:rPr>
        <w:t xml:space="preserve"> </w:t>
      </w:r>
      <w:r>
        <w:rPr>
          <w:rFonts w:cs="Simplified Arabic" w:ascii="Simplified Arabic" w:hAnsi="Simplified Arabic"/>
          <w:sz w:val="28"/>
          <w:szCs w:val="28"/>
          <w:rtl w:val="true"/>
        </w:rPr>
        <w:t>(</w:t>
      </w:r>
      <w:r>
        <w:rPr>
          <w:rFonts w:cs="Simplified Arabic" w:ascii="Simplified Arabic" w:hAnsi="Simplified Arabic"/>
          <w:sz w:val="28"/>
          <w:szCs w:val="28"/>
        </w:rPr>
        <w:t>Non-generic</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وتشير هذه النتائج إلى أن الأخبار الاقتصادية باللغة الإنجليزية تعتمد بدرجة كبيرة على الإشارة الخاصة</w:t>
      </w:r>
      <w:r>
        <w:rPr>
          <w:rFonts w:ascii="Simplified Arabic" w:hAnsi="Simplified Arabic" w:cs="Simplified Arabic"/>
          <w:sz w:val="28"/>
          <w:szCs w:val="28"/>
          <w:rtl w:val="true"/>
        </w:rPr>
        <w:t xml:space="preserve"> </w:t>
      </w:r>
      <w:r>
        <w:rPr>
          <w:rFonts w:cs="Simplified Arabic" w:ascii="Simplified Arabic" w:hAnsi="Simplified Arabic"/>
          <w:sz w:val="28"/>
          <w:szCs w:val="28"/>
          <w:rtl w:val="true"/>
        </w:rPr>
        <w:t>(</w:t>
      </w:r>
      <w:r>
        <w:rPr>
          <w:rFonts w:cs="Simplified Arabic" w:ascii="Simplified Arabic" w:hAnsi="Simplified Arabic"/>
          <w:sz w:val="28"/>
          <w:szCs w:val="28"/>
        </w:rPr>
        <w:t>Specific Reference</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في سياق الخطاب الاقتصادي</w:t>
      </w:r>
      <w:r>
        <w:rPr>
          <w:rFonts w:cs="Simplified Arabic" w:ascii="Simplified Arabic" w:hAnsi="Simplified Arabic"/>
          <w:sz w:val="28"/>
          <w:szCs w:val="28"/>
          <w:rtl w:val="true"/>
        </w:rPr>
        <w:t>.</w:t>
      </w:r>
    </w:p>
    <w:p>
      <w:pPr>
        <w:pStyle w:val="Normal"/>
        <w:tabs>
          <w:tab w:val="clear" w:pos="720"/>
          <w:tab w:val="right" w:pos="8640" w:leader="none"/>
        </w:tabs>
        <w:bidi w:val="1"/>
        <w:spacing w:lineRule="auto" w:line="276" w:before="0" w:after="0"/>
        <w:ind w:end="0"/>
        <w:jc w:val="both"/>
        <w:rPr/>
      </w:pPr>
      <w:r>
        <w:rPr>
          <w:rFonts w:ascii="Simplified Arabic" w:hAnsi="Simplified Arabic" w:cs="Simplified Arabic"/>
          <w:sz w:val="28"/>
          <w:szCs w:val="28"/>
          <w:rtl w:val="true"/>
        </w:rPr>
        <w:t>وبشكل عام، تُظهر النتائج أن اختيار الأداة في الصحافة الاقتصادية يساعد في عرض المؤسسات، وتسليط الضوء على الأحداث، وتقديم المؤشرات والمعايير الاقتصادية بوصفها عناصر معروفة، وخاصة، ومستقرة داخل سياق الأخبار الاقتصادية</w:t>
      </w:r>
      <w:r>
        <w:rPr>
          <w:rFonts w:cs="Simplified Arabic" w:ascii="Simplified Arabic" w:hAnsi="Simplified Arabic"/>
          <w:sz w:val="28"/>
          <w:szCs w:val="28"/>
          <w:rtl w:val="true"/>
        </w:rPr>
        <w:t>.</w:t>
      </w:r>
    </w:p>
    <w:p>
      <w:pPr>
        <w:pStyle w:val="Normal"/>
        <w:tabs>
          <w:tab w:val="clear" w:pos="720"/>
          <w:tab w:val="right" w:pos="8640" w:leader="none"/>
        </w:tabs>
        <w:bidi w:val="1"/>
        <w:spacing w:lineRule="auto" w:line="276" w:before="0" w:after="0"/>
        <w:ind w:end="0"/>
        <w:jc w:val="both"/>
        <w:rPr/>
      </w:pPr>
      <w:r>
        <w:rPr>
          <w:rFonts w:ascii="Simplified Arabic" w:hAnsi="Simplified Arabic" w:cs="Simplified Arabic"/>
          <w:b/>
          <w:b/>
          <w:bCs/>
          <w:sz w:val="28"/>
          <w:szCs w:val="28"/>
          <w:rtl w:val="true"/>
        </w:rPr>
        <w:t>الكلمات المفتاحية</w:t>
      </w:r>
      <w:r>
        <w:rPr>
          <w:rFonts w:cs="Simplified Arabic" w:ascii="Simplified Arabic" w:hAnsi="Simplified Arabic"/>
          <w:b/>
          <w:bCs/>
          <w:sz w:val="28"/>
          <w:szCs w:val="28"/>
          <w:rtl w:val="true"/>
        </w:rPr>
        <w:t>:</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أدوات التعريف والتنكير الإنجليزية، الإشارة الدلالية، الأخبار الاقتصادية، لغويات الكوربس</w:t>
      </w:r>
      <w:r>
        <w:rPr>
          <w:rFonts w:cs="Simplified Arabic" w:ascii="Simplified Arabic" w:hAnsi="Simplified Arabic"/>
          <w:sz w:val="28"/>
          <w:szCs w:val="28"/>
          <w:rtl w:val="true"/>
        </w:rPr>
        <w:t>.</w:t>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left" w:pos="4043"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tab/>
      </w:r>
    </w:p>
    <w:p>
      <w:pPr>
        <w:pStyle w:val="Normal"/>
        <w:tabs>
          <w:tab w:val="clear" w:pos="720"/>
          <w:tab w:val="left" w:pos="4043"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p>
      <w:pPr>
        <w:pStyle w:val="Normal"/>
        <w:tabs>
          <w:tab w:val="clear" w:pos="720"/>
          <w:tab w:val="right" w:pos="8640" w:leader="none"/>
        </w:tabs>
        <w:bidi w:val="1"/>
        <w:spacing w:lineRule="auto" w:line="276" w:before="0" w:after="0"/>
        <w:ind w:end="0"/>
        <w:jc w:val="both"/>
        <w:rPr>
          <w:rFonts w:ascii="Simplified Arabic" w:hAnsi="Simplified Arabic" w:cs="Calibri"/>
          <w:sz w:val="32"/>
          <w:szCs w:val="32"/>
          <w:lang w:bidi="ar-IQ"/>
        </w:rPr>
      </w:pPr>
      <w:r>
        <w:rPr>
          <w:rFonts w:cs="Calibri" w:ascii="Simplified Arabic" w:hAnsi="Simplified Arabic"/>
          <w:sz w:val="32"/>
          <w:szCs w:val="32"/>
          <w:rtl w:val="true"/>
          <w:lang w:bidi="ar-IQ"/>
        </w:rPr>
      </w:r>
    </w:p>
    <w:p>
      <w:pPr>
        <w:pStyle w:val="Normal"/>
        <w:spacing w:lineRule="auto" w:line="276"/>
        <w:jc w:val="end"/>
        <w:rPr>
          <w:rFonts w:cs="Calibri"/>
          <w:sz w:val="28"/>
          <w:szCs w:val="28"/>
          <w:lang w:bidi="ar-IQ"/>
        </w:rPr>
      </w:pPr>
      <w:r>
        <w:rPr>
          <w:rFonts w:cs="Calibri"/>
          <w:sz w:val="28"/>
          <w:szCs w:val="28"/>
          <w:lang w:bidi="ar-IQ"/>
        </w:rPr>
        <w:t xml:space="preserve"> </w:t>
      </w:r>
      <w:r>
        <w:rPr>
          <w:rFonts w:cs="Calibri"/>
          <w:sz w:val="28"/>
          <w:szCs w:val="28"/>
          <w:rtl w:val="true"/>
          <w:lang w:bidi="ar-IQ"/>
        </w:rPr>
        <w:t>ئامرازەکانی ناسراو و نەناسراو لە هەواڵی ئابووریی ئینگلیزیدا</w:t>
      </w:r>
      <w:r>
        <w:rPr>
          <w:rFonts w:cs="Calibri"/>
          <w:sz w:val="28"/>
          <w:szCs w:val="28"/>
          <w:rtl w:val="true"/>
          <w:lang w:bidi="ar-IQ"/>
        </w:rPr>
        <w:t xml:space="preserve">: </w:t>
      </w:r>
      <w:r>
        <w:rPr>
          <w:rFonts w:cs="Calibri"/>
          <w:sz w:val="28"/>
          <w:szCs w:val="28"/>
          <w:rtl w:val="true"/>
          <w:lang w:bidi="ar-IQ"/>
        </w:rPr>
        <w:t>توێژینەوەیەکی کۆرپەس</w:t>
      </w:r>
      <w:r>
        <w:rPr>
          <w:rFonts w:cs="Calibri"/>
          <w:sz w:val="28"/>
          <w:szCs w:val="28"/>
          <w:rtl w:val="true"/>
          <w:lang w:bidi="ar-IQ"/>
        </w:rPr>
        <w:t>-</w:t>
      </w:r>
      <w:r>
        <w:rPr>
          <w:rFonts w:cs="Calibri"/>
          <w:sz w:val="28"/>
          <w:szCs w:val="28"/>
          <w:rtl w:val="true"/>
          <w:lang w:bidi="ar-IQ"/>
        </w:rPr>
        <w:t>بنەما یە لەسەر جۆرەکانی ئاماژەی مانایی</w:t>
      </w:r>
      <w:r>
        <w:rPr>
          <w:rFonts w:cs="Calibri"/>
          <w:sz w:val="28"/>
          <w:szCs w:val="28"/>
          <w:rtl w:val="true"/>
          <w:lang w:bidi="ar-IQ"/>
        </w:rPr>
        <w:t>(</w:t>
      </w:r>
      <w:r>
        <w:rPr>
          <w:rFonts w:cs="Calibri"/>
          <w:sz w:val="28"/>
          <w:szCs w:val="28"/>
          <w:rtl w:val="true"/>
          <w:lang w:bidi="ar-IQ"/>
        </w:rPr>
        <w:t>واتایی</w:t>
      </w:r>
      <w:r>
        <w:rPr>
          <w:rFonts w:cs="Calibri"/>
          <w:sz w:val="28"/>
          <w:szCs w:val="28"/>
          <w:rtl w:val="true"/>
          <w:lang w:bidi="ar-IQ"/>
        </w:rPr>
        <w:t>)</w:t>
      </w:r>
      <w:r>
        <w:rPr>
          <w:rFonts w:cs="Calibri"/>
          <w:sz w:val="28"/>
          <w:szCs w:val="28"/>
          <w:lang w:bidi="ar-IQ"/>
        </w:rPr>
        <w:t xml:space="preserve"> </w:t>
      </w:r>
    </w:p>
    <w:p>
      <w:pPr>
        <w:pStyle w:val="Normal"/>
        <w:tabs>
          <w:tab w:val="clear" w:pos="720"/>
          <w:tab w:val="right" w:pos="8640" w:leader="none"/>
        </w:tabs>
        <w:bidi w:val="1"/>
        <w:spacing w:lineRule="auto" w:line="276" w:before="0" w:after="0"/>
        <w:ind w:end="0"/>
        <w:jc w:val="start"/>
        <w:rPr>
          <w:rFonts w:ascii="Simplified Arabic" w:hAnsi="Simplified Arabic" w:cs="Simplified Arabic"/>
          <w:b/>
          <w:bCs/>
          <w:sz w:val="28"/>
          <w:szCs w:val="28"/>
          <w:lang w:bidi="ar-IQ"/>
        </w:rPr>
      </w:pPr>
      <w:r>
        <w:rPr>
          <w:rFonts w:cs="Simplified Arabic" w:hint="cs" w:ascii="Simplified Arabic" w:hAnsi="Simplified Arabic"/>
          <w:b/>
          <w:bCs/>
          <w:sz w:val="28"/>
          <w:szCs w:val="28"/>
          <w:rtl w:val="true"/>
          <w:lang w:bidi="ckb-IQ"/>
        </w:rPr>
        <w:t xml:space="preserve">          </w:t>
      </w:r>
      <w:r>
        <w:rPr>
          <w:rFonts w:ascii="Simplified Arabic" w:hAnsi="Simplified Arabic" w:hint="cs" w:cs="Simplified Arabic"/>
          <w:b/>
          <w:b/>
          <w:bCs/>
          <w:sz w:val="28"/>
          <w:szCs w:val="28"/>
          <w:rtl w:val="true"/>
          <w:lang w:bidi="ckb-IQ"/>
        </w:rPr>
        <w:t>نەبەزمحمدسعید</w:t>
      </w:r>
      <w:r>
        <w:rPr>
          <w:rFonts w:ascii="Simplified Arabic" w:hAnsi="Simplified Arabic" w:hint="cs" w:cs="Simplified Arabic"/>
          <w:b/>
          <w:b/>
          <w:bCs/>
          <w:sz w:val="28"/>
          <w:szCs w:val="28"/>
          <w:vertAlign w:val="superscript"/>
          <w:lang w:bidi="ckb-IQ"/>
        </w:rPr>
        <w:t>١</w:t>
      </w:r>
      <w:r>
        <w:rPr>
          <w:rFonts w:ascii="Simplified Arabic" w:hAnsi="Simplified Arabic" w:cs="Simplified Arabic"/>
          <w:b/>
          <w:b/>
          <w:bCs/>
          <w:sz w:val="28"/>
          <w:szCs w:val="28"/>
          <w:rtl w:val="true"/>
          <w:lang w:bidi="ar-IQ"/>
        </w:rPr>
        <w:t xml:space="preserve">     </w:t>
      </w:r>
      <w:r>
        <w:rPr>
          <w:rFonts w:ascii="Simplified Arabic" w:hAnsi="Simplified Arabic" w:hint="cs" w:cs="Simplified Arabic"/>
          <w:b/>
          <w:b/>
          <w:bCs/>
          <w:sz w:val="28"/>
          <w:szCs w:val="28"/>
          <w:rtl w:val="true"/>
          <w:lang w:bidi="ar-IQ"/>
        </w:rPr>
        <w:t xml:space="preserve">            </w:t>
      </w:r>
      <w:r>
        <w:rPr>
          <w:rFonts w:ascii="Simplified Arabic" w:hAnsi="Simplified Arabic" w:cs="Simplified Arabic"/>
          <w:b/>
          <w:b/>
          <w:bCs/>
          <w:sz w:val="28"/>
          <w:szCs w:val="28"/>
          <w:rtl w:val="true"/>
          <w:lang w:bidi="ar-IQ"/>
        </w:rPr>
        <w:t xml:space="preserve">  </w:t>
      </w:r>
      <w:r>
        <w:rPr>
          <w:rFonts w:ascii="Simplified Arabic" w:hAnsi="Simplified Arabic" w:hint="cs" w:cs="Simplified Arabic"/>
          <w:b/>
          <w:b/>
          <w:bCs/>
          <w:sz w:val="28"/>
          <w:szCs w:val="28"/>
          <w:rtl w:val="true"/>
          <w:lang w:bidi="ar-IQ"/>
        </w:rPr>
        <w:t xml:space="preserve"> صالح ابراهیم احمد</w:t>
      </w:r>
      <w:r>
        <w:rPr>
          <w:rFonts w:ascii="Simplified Arabic" w:hAnsi="Simplified Arabic" w:hint="cs" w:cs="Simplified Arabic"/>
          <w:b/>
          <w:b/>
          <w:bCs/>
          <w:sz w:val="28"/>
          <w:szCs w:val="28"/>
          <w:vertAlign w:val="superscript"/>
          <w:lang w:bidi="ar-IQ"/>
        </w:rPr>
        <w:t>٢</w:t>
      </w:r>
      <w:r>
        <w:rPr>
          <w:rFonts w:ascii="Simplified Arabic" w:hAnsi="Simplified Arabic" w:hint="cs" w:cs="Simplified Arabic"/>
          <w:b/>
          <w:b/>
          <w:bCs/>
          <w:sz w:val="28"/>
          <w:szCs w:val="28"/>
          <w:rtl w:val="true"/>
          <w:lang w:bidi="ar-IQ"/>
        </w:rPr>
        <w:t xml:space="preserve"> </w:t>
      </w:r>
    </w:p>
    <w:p>
      <w:pPr>
        <w:pStyle w:val="Normal"/>
        <w:tabs>
          <w:tab w:val="clear" w:pos="720"/>
          <w:tab w:val="right" w:pos="8640" w:leader="none"/>
        </w:tabs>
        <w:bidi w:val="1"/>
        <w:spacing w:lineRule="auto" w:line="276" w:before="0" w:after="0"/>
        <w:ind w:end="0"/>
        <w:jc w:val="start"/>
        <w:rPr>
          <w:rFonts w:ascii="Simplified Arabic" w:hAnsi="Simplified Arabic" w:cs="Simplified Arabic"/>
          <w:b/>
          <w:bCs/>
          <w:sz w:val="28"/>
          <w:szCs w:val="28"/>
          <w:lang w:bidi="ar-IQ"/>
        </w:rPr>
      </w:pPr>
      <w:hyperlink r:id="rId4">
        <w:r>
          <w:rPr>
            <w:rStyle w:val="Hyperlink"/>
            <w:rFonts w:cs="Times New Roman" w:ascii="Times New Roman" w:hAnsi="Times New Roman"/>
            <w:b/>
            <w:bCs/>
            <w:i/>
            <w:iCs/>
            <w:kern w:val="0"/>
            <w:sz w:val="20"/>
            <w:szCs w:val="20"/>
            <w:lang w:val="en"/>
          </w:rPr>
          <w:t>nabaz.431624001@uor.edu.krd</w:t>
        </w:r>
      </w:hyperlink>
      <w:r>
        <w:rPr>
          <w:rFonts w:cs="Times New Roman" w:hint="cs" w:ascii="Times New Roman" w:hAnsi="Times New Roman"/>
          <w:b/>
          <w:bCs/>
          <w:i/>
          <w:iCs/>
          <w:kern w:val="0"/>
          <w:sz w:val="20"/>
          <w:szCs w:val="20"/>
        </w:rPr>
        <w:t xml:space="preserve">                          </w:t>
      </w:r>
      <w:hyperlink r:id="rId5">
        <w:r>
          <w:rPr>
            <w:rStyle w:val="Hyperlink"/>
            <w:rFonts w:cs="Times New Roman" w:ascii="Times New Roman" w:hAnsi="Times New Roman"/>
            <w:b/>
            <w:bCs/>
            <w:i/>
            <w:iCs/>
            <w:kern w:val="0"/>
            <w:sz w:val="20"/>
            <w:szCs w:val="20"/>
            <w:lang w:val="en"/>
          </w:rPr>
          <w:t>salih.ahmed@uor.edu.krd</w:t>
        </w:r>
      </w:hyperlink>
    </w:p>
    <w:p>
      <w:pPr>
        <w:pStyle w:val="Normal"/>
        <w:tabs>
          <w:tab w:val="clear" w:pos="720"/>
          <w:tab w:val="right" w:pos="8640" w:leader="none"/>
        </w:tabs>
        <w:bidi w:val="1"/>
        <w:spacing w:lineRule="auto" w:line="276" w:before="0" w:after="0"/>
        <w:ind w:end="0"/>
        <w:jc w:val="start"/>
        <w:rPr>
          <w:rFonts w:ascii="Simplified Arabic" w:hAnsi="Simplified Arabic" w:cs="Simplified Arabic"/>
          <w:b/>
          <w:bCs/>
          <w:sz w:val="28"/>
          <w:szCs w:val="28"/>
          <w:lang w:bidi="ar-IQ"/>
        </w:rPr>
      </w:pPr>
      <w:r>
        <w:rPr>
          <w:rFonts w:cs="Simplified Arabic" w:hint="cs" w:ascii="Simplified Arabic" w:hAnsi="Simplified Arabic"/>
          <w:b/>
          <w:bCs/>
          <w:sz w:val="28"/>
          <w:szCs w:val="28"/>
          <w:rtl w:val="true"/>
          <w:lang w:bidi="ar-IQ"/>
        </w:rPr>
        <w:t xml:space="preserve">  </w:t>
      </w:r>
      <w:r>
        <w:rPr>
          <w:rFonts w:ascii="Simplified Arabic" w:hAnsi="Simplified Arabic" w:cs="Simplified Arabic"/>
          <w:b/>
          <w:b/>
          <w:bCs/>
          <w:sz w:val="28"/>
          <w:szCs w:val="28"/>
        </w:rPr>
        <w:t>١</w:t>
      </w:r>
      <w:r>
        <w:rPr>
          <w:rFonts w:ascii="Simplified Arabic" w:hAnsi="Simplified Arabic" w:cs="Simplified Arabic"/>
          <w:b/>
          <w:b/>
          <w:bCs/>
          <w:sz w:val="28"/>
          <w:szCs w:val="28"/>
          <w:rtl w:val="true"/>
          <w:lang w:bidi="ar-IQ"/>
        </w:rPr>
        <w:t xml:space="preserve"> </w:t>
      </w:r>
      <w:r>
        <w:rPr>
          <w:rFonts w:ascii="Simplified Arabic" w:hAnsi="Simplified Arabic" w:hint="cs" w:cs="Simplified Arabic"/>
          <w:b/>
          <w:b/>
          <w:bCs/>
          <w:sz w:val="28"/>
          <w:szCs w:val="28"/>
          <w:rtl w:val="true"/>
        </w:rPr>
        <w:t>زانکۆی ڕاپەڕین</w:t>
      </w:r>
      <w:r>
        <w:rPr>
          <w:rFonts w:ascii="Simplified Arabic" w:hAnsi="Simplified Arabic" w:cs="Simplified Arabic"/>
          <w:b/>
          <w:b/>
          <w:bCs/>
          <w:sz w:val="28"/>
          <w:szCs w:val="28"/>
          <w:rtl w:val="true"/>
        </w:rPr>
        <w:t>، ك</w:t>
      </w:r>
      <w:r>
        <w:rPr>
          <w:rFonts w:ascii="Simplified Arabic" w:hAnsi="Simplified Arabic" w:hint="cs" w:cs="Simplified Arabic"/>
          <w:b/>
          <w:b/>
          <w:bCs/>
          <w:sz w:val="28"/>
          <w:szCs w:val="28"/>
          <w:rtl w:val="true"/>
        </w:rPr>
        <w:t>ۆلێژی بنەڕەت</w:t>
      </w:r>
      <w:r>
        <w:rPr>
          <w:rFonts w:ascii="Simplified Arabic" w:hAnsi="Simplified Arabic" w:cs="Simplified Arabic"/>
          <w:b/>
          <w:b/>
          <w:bCs/>
          <w:sz w:val="28"/>
          <w:szCs w:val="28"/>
          <w:rtl w:val="true"/>
        </w:rPr>
        <w:t xml:space="preserve">، </w:t>
      </w:r>
      <w:r>
        <w:rPr>
          <w:rFonts w:ascii="Simplified Arabic" w:hAnsi="Simplified Arabic" w:hint="cs" w:cs="Simplified Arabic"/>
          <w:b/>
          <w:b/>
          <w:bCs/>
          <w:sz w:val="28"/>
          <w:szCs w:val="28"/>
          <w:rtl w:val="true"/>
        </w:rPr>
        <w:t>بەشی زمانی ئینگلیزی ،سلێمانی،عێراق</w:t>
      </w:r>
    </w:p>
    <w:p>
      <w:pPr>
        <w:pStyle w:val="Normal"/>
        <w:tabs>
          <w:tab w:val="clear" w:pos="720"/>
          <w:tab w:val="right" w:pos="8640" w:leader="none"/>
        </w:tabs>
        <w:bidi w:val="1"/>
        <w:spacing w:lineRule="auto" w:line="276" w:before="0" w:after="0"/>
        <w:ind w:end="0"/>
        <w:jc w:val="start"/>
        <w:rPr>
          <w:rFonts w:ascii="Simplified Arabic" w:hAnsi="Simplified Arabic" w:cs="Simplified Arabic"/>
          <w:b/>
          <w:bCs/>
          <w:sz w:val="28"/>
          <w:szCs w:val="28"/>
          <w:lang w:bidi="ar-IQ"/>
        </w:rPr>
      </w:pPr>
      <w:r>
        <w:rPr>
          <w:rFonts w:ascii="Simplified Arabic" w:hAnsi="Simplified Arabic" w:hint="cs" w:cs="Simplified Arabic"/>
          <w:b/>
          <w:b/>
          <w:bCs/>
          <w:sz w:val="28"/>
          <w:szCs w:val="28"/>
        </w:rPr>
        <w:t>٢</w:t>
      </w:r>
      <w:r>
        <w:rPr>
          <w:rFonts w:ascii="Simplified Arabic" w:hAnsi="Simplified Arabic" w:cs="Simplified Arabic"/>
          <w:b/>
          <w:b/>
          <w:bCs/>
          <w:sz w:val="28"/>
          <w:szCs w:val="28"/>
          <w:rtl w:val="true"/>
          <w:lang w:bidi="ar-IQ"/>
        </w:rPr>
        <w:t xml:space="preserve"> </w:t>
      </w:r>
      <w:r>
        <w:rPr>
          <w:rFonts w:ascii="Simplified Arabic" w:hAnsi="Simplified Arabic" w:hint="cs" w:cs="Simplified Arabic"/>
          <w:b/>
          <w:b/>
          <w:bCs/>
          <w:sz w:val="28"/>
          <w:szCs w:val="28"/>
          <w:rtl w:val="true"/>
        </w:rPr>
        <w:t xml:space="preserve">زانکۆی ڕاپەڕین </w:t>
      </w:r>
      <w:r>
        <w:rPr>
          <w:rFonts w:ascii="Simplified Arabic" w:hAnsi="Simplified Arabic" w:cs="Simplified Arabic"/>
          <w:b/>
          <w:b/>
          <w:bCs/>
          <w:sz w:val="28"/>
          <w:szCs w:val="28"/>
          <w:rtl w:val="true"/>
        </w:rPr>
        <w:t xml:space="preserve">، </w:t>
      </w:r>
      <w:r>
        <w:rPr>
          <w:rFonts w:ascii="Simplified Arabic" w:hAnsi="Simplified Arabic" w:hint="cs" w:cs="Simplified Arabic"/>
          <w:b/>
          <w:b/>
          <w:bCs/>
          <w:sz w:val="28"/>
          <w:szCs w:val="28"/>
          <w:rtl w:val="true"/>
        </w:rPr>
        <w:t>کۆلێژی پەروەردە</w:t>
      </w:r>
      <w:r>
        <w:rPr>
          <w:rFonts w:ascii="Simplified Arabic" w:hAnsi="Simplified Arabic" w:cs="Simplified Arabic"/>
          <w:b/>
          <w:b/>
          <w:bCs/>
          <w:sz w:val="28"/>
          <w:szCs w:val="28"/>
          <w:rtl w:val="true"/>
        </w:rPr>
        <w:t xml:space="preserve">، </w:t>
      </w:r>
      <w:r>
        <w:rPr>
          <w:rFonts w:ascii="Simplified Arabic" w:hAnsi="Simplified Arabic" w:hint="cs" w:cs="Simplified Arabic"/>
          <w:b/>
          <w:b/>
          <w:bCs/>
          <w:sz w:val="28"/>
          <w:szCs w:val="28"/>
          <w:rtl w:val="true"/>
        </w:rPr>
        <w:t>بەشی ئینگلیزی ،سلێمانی ، عێراق</w:t>
      </w:r>
    </w:p>
    <w:p>
      <w:pPr>
        <w:pStyle w:val="Normal"/>
        <w:spacing w:lineRule="auto" w:line="276"/>
        <w:jc w:val="end"/>
        <w:rPr>
          <w:rFonts w:ascii="Simplified Arabic" w:hAnsi="Simplified Arabic" w:cs="Calibri"/>
          <w:b/>
          <w:bCs/>
          <w:sz w:val="28"/>
          <w:szCs w:val="28"/>
          <w:lang w:bidi="ar-IQ"/>
        </w:rPr>
      </w:pPr>
      <w:r>
        <w:rPr>
          <w:rFonts w:cs="Calibri" w:ascii="Simplified Arabic" w:hAnsi="Simplified Arabic"/>
          <w:b/>
          <w:bCs/>
          <w:sz w:val="28"/>
          <w:szCs w:val="28"/>
          <w:lang w:bidi="ar-IQ"/>
        </w:rPr>
      </w:r>
    </w:p>
    <w:p>
      <w:pPr>
        <w:pStyle w:val="Normal"/>
        <w:bidi w:val="1"/>
        <w:spacing w:lineRule="auto" w:line="240" w:before="280" w:after="280"/>
        <w:ind w:end="0"/>
        <w:jc w:val="start"/>
        <w:rPr>
          <w:rFonts w:eastAsia="Times New Roman" w:cs="Calibri"/>
          <w:kern w:val="0"/>
          <w:sz w:val="24"/>
          <w:szCs w:val="24"/>
        </w:rPr>
      </w:pPr>
      <w:r>
        <w:rPr>
          <w:rFonts w:eastAsia="Times New Roman" w:cs="Calibri"/>
          <w:b/>
          <w:b/>
          <w:bCs/>
          <w:kern w:val="0"/>
          <w:sz w:val="24"/>
          <w:szCs w:val="24"/>
          <w:rtl w:val="true"/>
        </w:rPr>
        <w:t>پوختە</w:t>
      </w:r>
    </w:p>
    <w:p>
      <w:pPr>
        <w:pStyle w:val="Normal"/>
        <w:bidi w:val="1"/>
        <w:spacing w:lineRule="auto" w:line="276" w:before="280" w:after="280"/>
        <w:ind w:end="0"/>
        <w:jc w:val="both"/>
        <w:rPr/>
      </w:pPr>
      <w:r>
        <w:rPr>
          <w:rFonts w:eastAsia="Times New Roman" w:cs="Calibri"/>
          <w:kern w:val="0"/>
          <w:sz w:val="24"/>
          <w:szCs w:val="24"/>
          <w:rtl w:val="true"/>
        </w:rPr>
        <w:t>ئەم توێژینەوە</w:t>
      </w:r>
      <w:r>
        <w:rPr>
          <w:rFonts w:eastAsia="Times New Roman" w:hint="cs" w:cs="Calibri"/>
          <w:kern w:val="0"/>
          <w:sz w:val="24"/>
          <w:szCs w:val="24"/>
          <w:rtl w:val="true"/>
        </w:rPr>
        <w:t xml:space="preserve"> ئەنجام دراوە لەسەر</w:t>
      </w:r>
      <w:r>
        <w:rPr>
          <w:rFonts w:eastAsia="Times New Roman" w:cs="Calibri"/>
          <w:kern w:val="0"/>
          <w:sz w:val="24"/>
          <w:szCs w:val="24"/>
          <w:rtl w:val="true"/>
        </w:rPr>
        <w:t xml:space="preserve"> ڕوودان</w:t>
      </w:r>
      <w:r>
        <w:rPr>
          <w:rFonts w:eastAsia="Times New Roman" w:hint="cs" w:cs="Calibri"/>
          <w:kern w:val="0"/>
          <w:sz w:val="24"/>
          <w:szCs w:val="24"/>
          <w:rtl w:val="true"/>
        </w:rPr>
        <w:t xml:space="preserve"> و دەرکەوتنی</w:t>
      </w:r>
      <w:r>
        <w:rPr>
          <w:rFonts w:eastAsia="Times New Roman" w:cs="Calibri"/>
          <w:kern w:val="0"/>
          <w:sz w:val="24"/>
          <w:szCs w:val="24"/>
          <w:rtl w:val="true"/>
        </w:rPr>
        <w:t xml:space="preserve"> ئامرازی </w:t>
      </w:r>
      <w:r>
        <w:rPr>
          <w:rFonts w:eastAsia="Times New Roman" w:hint="cs" w:cs="Calibri"/>
          <w:kern w:val="0"/>
          <w:sz w:val="24"/>
          <w:szCs w:val="24"/>
          <w:rtl w:val="true"/>
        </w:rPr>
        <w:t xml:space="preserve">ناسراو </w:t>
      </w:r>
      <w:r>
        <w:rPr>
          <w:rFonts w:eastAsia="Times New Roman" w:cs="Calibri"/>
          <w:kern w:val="0"/>
          <w:sz w:val="24"/>
          <w:szCs w:val="24"/>
          <w:rtl w:val="true"/>
        </w:rPr>
        <w:t xml:space="preserve"> </w:t>
      </w:r>
      <w:r>
        <w:rPr>
          <w:rFonts w:eastAsia="Times New Roman" w:cs="Calibri"/>
          <w:b/>
          <w:bCs/>
          <w:kern w:val="0"/>
          <w:sz w:val="24"/>
          <w:szCs w:val="24"/>
        </w:rPr>
        <w:t>the</w:t>
      </w:r>
      <w:r>
        <w:rPr>
          <w:rFonts w:eastAsia="Times New Roman" w:cs="Calibri"/>
          <w:kern w:val="0"/>
          <w:sz w:val="24"/>
          <w:szCs w:val="24"/>
          <w:rtl w:val="true"/>
        </w:rPr>
        <w:t xml:space="preserve"> </w:t>
      </w:r>
      <w:r>
        <w:rPr>
          <w:rFonts w:eastAsia="Times New Roman" w:cs="Calibri"/>
          <w:kern w:val="0"/>
          <w:sz w:val="24"/>
          <w:szCs w:val="24"/>
          <w:rtl w:val="true"/>
        </w:rPr>
        <w:t xml:space="preserve">و </w:t>
      </w:r>
      <w:r>
        <w:rPr>
          <w:rFonts w:eastAsia="Times New Roman" w:hint="cs" w:cs="Calibri"/>
          <w:kern w:val="0"/>
          <w:sz w:val="24"/>
          <w:szCs w:val="24"/>
          <w:rtl w:val="true"/>
        </w:rPr>
        <w:t xml:space="preserve"> نەناسراو</w:t>
      </w:r>
      <w:r>
        <w:rPr>
          <w:rFonts w:eastAsia="Times New Roman" w:cs="Calibri"/>
          <w:kern w:val="0"/>
          <w:sz w:val="24"/>
          <w:szCs w:val="24"/>
          <w:rtl w:val="true"/>
        </w:rPr>
        <w:t xml:space="preserve">  </w:t>
      </w:r>
      <w:r>
        <w:rPr>
          <w:rFonts w:eastAsia="Times New Roman" w:cs="Calibri"/>
          <w:b/>
          <w:bCs/>
          <w:kern w:val="0"/>
          <w:sz w:val="24"/>
          <w:szCs w:val="24"/>
        </w:rPr>
        <w:t>a/an</w:t>
      </w:r>
      <w:r>
        <w:rPr>
          <w:rFonts w:eastAsia="Times New Roman" w:cs="Calibri"/>
          <w:kern w:val="0"/>
          <w:sz w:val="24"/>
          <w:szCs w:val="24"/>
          <w:rtl w:val="true"/>
        </w:rPr>
        <w:t>،</w:t>
      </w:r>
      <w:r>
        <w:rPr>
          <w:rFonts w:eastAsia="Times New Roman" w:hint="cs" w:cs="Calibri"/>
          <w:kern w:val="0"/>
          <w:sz w:val="24"/>
          <w:szCs w:val="24"/>
          <w:rtl w:val="true"/>
        </w:rPr>
        <w:t xml:space="preserve">لەگەڵ دەستنیشانکردنی جۆری </w:t>
      </w:r>
      <w:r>
        <w:rPr>
          <w:rFonts w:eastAsia="Times New Roman" w:cs="Calibri"/>
          <w:kern w:val="0"/>
          <w:sz w:val="24"/>
          <w:szCs w:val="24"/>
          <w:rtl w:val="true"/>
        </w:rPr>
        <w:t>ئاماژە واتای</w:t>
      </w:r>
      <w:r>
        <w:rPr>
          <w:rFonts w:eastAsia="Times New Roman" w:hint="cs" w:cs="Calibri"/>
          <w:kern w:val="0"/>
          <w:sz w:val="24"/>
          <w:szCs w:val="24"/>
          <w:rtl w:val="true"/>
        </w:rPr>
        <w:t>یەکانیان</w:t>
      </w:r>
      <w:r>
        <w:rPr>
          <w:rFonts w:eastAsia="Times New Roman" w:cs="Calibri"/>
          <w:kern w:val="0"/>
          <w:sz w:val="24"/>
          <w:szCs w:val="24"/>
          <w:rtl w:val="true"/>
        </w:rPr>
        <w:t xml:space="preserve"> </w:t>
      </w:r>
      <w:r>
        <w:rPr>
          <w:rFonts w:eastAsia="Times New Roman" w:cs="Calibri"/>
          <w:kern w:val="0"/>
          <w:sz w:val="24"/>
          <w:szCs w:val="24"/>
          <w:rtl w:val="true"/>
        </w:rPr>
        <w:t>(</w:t>
      </w:r>
      <w:r>
        <w:rPr>
          <w:rFonts w:eastAsia="Times New Roman" w:cs="Calibri"/>
          <w:b/>
          <w:bCs/>
          <w:kern w:val="0"/>
          <w:sz w:val="24"/>
          <w:szCs w:val="24"/>
        </w:rPr>
        <w:t>Reference types</w:t>
      </w:r>
      <w:r>
        <w:rPr>
          <w:rFonts w:eastAsia="Times New Roman" w:cs="Calibri"/>
          <w:kern w:val="0"/>
          <w:sz w:val="24"/>
          <w:szCs w:val="24"/>
          <w:rtl w:val="true"/>
        </w:rPr>
        <w:t xml:space="preserve"> )</w:t>
      </w:r>
      <w:r>
        <w:rPr>
          <w:rFonts w:eastAsia="Times New Roman" w:cs="Calibri" w:hint="cs"/>
          <w:kern w:val="0"/>
          <w:sz w:val="24"/>
          <w:szCs w:val="24"/>
          <w:rtl w:val="true"/>
        </w:rPr>
        <w:t xml:space="preserve"> </w:t>
      </w:r>
      <w:r>
        <w:rPr>
          <w:rFonts w:eastAsia="Times New Roman" w:cs="Calibri"/>
          <w:kern w:val="0"/>
          <w:sz w:val="24"/>
          <w:szCs w:val="24"/>
          <w:rtl w:val="true"/>
        </w:rPr>
        <w:t>لە هەواڵی ئابووریی ئینگلیزی</w:t>
      </w:r>
      <w:r>
        <w:rPr>
          <w:rFonts w:eastAsia="Times New Roman" w:hint="cs" w:cs="Calibri"/>
          <w:kern w:val="0"/>
          <w:sz w:val="24"/>
          <w:szCs w:val="24"/>
          <w:rtl w:val="true"/>
        </w:rPr>
        <w:t>دا</w:t>
      </w:r>
      <w:r>
        <w:rPr>
          <w:rFonts w:eastAsia="Times New Roman" w:cs="Calibri" w:hint="cs"/>
          <w:kern w:val="0"/>
          <w:sz w:val="24"/>
          <w:szCs w:val="24"/>
          <w:rtl w:val="true"/>
        </w:rPr>
        <w:t>.</w:t>
      </w:r>
      <w:r>
        <w:rPr>
          <w:rFonts w:eastAsia="Times New Roman" w:cs="Calibri"/>
          <w:kern w:val="0"/>
          <w:sz w:val="24"/>
          <w:szCs w:val="24"/>
          <w:rtl w:val="true"/>
        </w:rPr>
        <w:t>توێژینەوەکە</w:t>
      </w:r>
      <w:r>
        <w:rPr>
          <w:rFonts w:eastAsia="Times New Roman" w:hint="cs" w:cs="Calibri"/>
          <w:kern w:val="0"/>
          <w:sz w:val="24"/>
          <w:szCs w:val="24"/>
          <w:rtl w:val="true"/>
        </w:rPr>
        <w:t xml:space="preserve"> بنیاد نراوە لەسەرنەبونی لێکۆڵینەوەی زمانەوانی و هیچ توێژینەوەیەک لەم بوارەدا،بەتایبەت لەهەواڵی ئابوری بە زمانی ئینگیلزیدا</w:t>
      </w:r>
      <w:r>
        <w:rPr>
          <w:rFonts w:eastAsia="Times New Roman" w:cs="Calibri" w:hint="cs"/>
          <w:kern w:val="0"/>
          <w:sz w:val="24"/>
          <w:szCs w:val="24"/>
          <w:rtl w:val="true"/>
        </w:rPr>
        <w:t xml:space="preserve">. </w:t>
      </w:r>
      <w:r>
        <w:rPr>
          <w:rFonts w:eastAsia="Times New Roman" w:hint="cs" w:cs="Calibri"/>
          <w:kern w:val="0"/>
          <w:sz w:val="24"/>
          <w:szCs w:val="24"/>
          <w:rtl w:val="true"/>
        </w:rPr>
        <w:t xml:space="preserve">لێکۆڵینەوەکە بە پشت بەستن بە بەڵگەی توێژینەوەی کۆرپەس ، دەریدەخات چۆن ئەم ئامرازانە </w:t>
      </w:r>
      <w:r>
        <w:rPr>
          <w:rFonts w:eastAsia="Times New Roman" w:cs="Calibri" w:hint="cs"/>
          <w:kern w:val="0"/>
          <w:sz w:val="24"/>
          <w:szCs w:val="24"/>
          <w:rtl w:val="true"/>
        </w:rPr>
        <w:t>(</w:t>
      </w:r>
      <w:r>
        <w:rPr>
          <w:rFonts w:eastAsia="Times New Roman" w:hint="cs" w:cs="Calibri"/>
          <w:kern w:val="0"/>
          <w:sz w:val="24"/>
          <w:szCs w:val="24"/>
          <w:rtl w:val="true"/>
        </w:rPr>
        <w:t>ناسراو وە نەناسراو</w:t>
      </w:r>
      <w:r>
        <w:rPr>
          <w:rFonts w:eastAsia="Times New Roman" w:cs="Calibri" w:hint="cs"/>
          <w:kern w:val="0"/>
          <w:sz w:val="24"/>
          <w:szCs w:val="24"/>
          <w:rtl w:val="true"/>
        </w:rPr>
        <w:t xml:space="preserve">) </w:t>
      </w:r>
      <w:r>
        <w:rPr>
          <w:rFonts w:eastAsia="Times New Roman" w:hint="cs" w:cs="Calibri"/>
          <w:kern w:val="0"/>
          <w:sz w:val="24"/>
          <w:szCs w:val="24"/>
          <w:rtl w:val="true"/>
        </w:rPr>
        <w:t>لەبواری</w:t>
      </w:r>
      <w:r>
        <w:rPr>
          <w:rFonts w:eastAsia="Times New Roman" w:cs="Calibri"/>
          <w:kern w:val="0"/>
          <w:sz w:val="24"/>
          <w:szCs w:val="24"/>
          <w:rtl w:val="true"/>
        </w:rPr>
        <w:t xml:space="preserve"> </w:t>
      </w:r>
      <w:r>
        <w:rPr>
          <w:rFonts w:eastAsia="Times New Roman" w:hint="cs" w:cs="Calibri"/>
          <w:kern w:val="0"/>
          <w:sz w:val="24"/>
          <w:szCs w:val="24"/>
          <w:rtl w:val="true"/>
        </w:rPr>
        <w:t xml:space="preserve">پیشەی </w:t>
      </w:r>
      <w:r>
        <w:rPr>
          <w:rFonts w:eastAsia="Times New Roman" w:cs="Calibri"/>
          <w:kern w:val="0"/>
          <w:sz w:val="24"/>
          <w:szCs w:val="24"/>
          <w:rtl w:val="true"/>
        </w:rPr>
        <w:t xml:space="preserve">ڕۆژنامەنووسیی </w:t>
      </w:r>
      <w:r>
        <w:rPr>
          <w:rFonts w:eastAsia="Times New Roman" w:hint="cs" w:cs="Calibri"/>
          <w:kern w:val="0"/>
          <w:sz w:val="24"/>
          <w:szCs w:val="24"/>
          <w:rtl w:val="true"/>
        </w:rPr>
        <w:t xml:space="preserve">و سازدانی هەواڵی ئابوری دا  دەردەکەون و کەڵک لەجۆری ئاماژەی واتاییان دەبینرێت </w:t>
      </w:r>
      <w:r>
        <w:rPr>
          <w:rFonts w:eastAsia="Times New Roman" w:cs="Calibri"/>
          <w:kern w:val="0"/>
          <w:sz w:val="24"/>
          <w:szCs w:val="24"/>
          <w:rtl w:val="true"/>
        </w:rPr>
        <w:t>بۆ ڕێکخستنی</w:t>
      </w:r>
      <w:r>
        <w:rPr>
          <w:rFonts w:eastAsia="Times New Roman" w:hint="cs" w:cs="Calibri"/>
          <w:kern w:val="0"/>
          <w:sz w:val="24"/>
          <w:szCs w:val="24"/>
          <w:rtl w:val="true"/>
        </w:rPr>
        <w:t xml:space="preserve"> واتای </w:t>
      </w:r>
      <w:r>
        <w:rPr>
          <w:rFonts w:eastAsia="Times New Roman" w:cs="Calibri"/>
          <w:kern w:val="0"/>
          <w:sz w:val="24"/>
          <w:szCs w:val="24"/>
          <w:rtl w:val="true"/>
        </w:rPr>
        <w:t>دیاریکراو، تایبەتمەندی، و گشتی</w:t>
      </w:r>
      <w:r>
        <w:rPr>
          <w:rFonts w:eastAsia="Times New Roman" w:cs="Calibri" w:hint="cs"/>
          <w:kern w:val="0"/>
          <w:sz w:val="24"/>
          <w:szCs w:val="24"/>
          <w:rtl w:val="true"/>
        </w:rPr>
        <w:t>.</w:t>
      </w:r>
      <w:r>
        <w:rPr>
          <w:rFonts w:eastAsia="Times New Roman" w:cs="Calibri"/>
          <w:kern w:val="0"/>
          <w:sz w:val="24"/>
          <w:szCs w:val="24"/>
          <w:rtl w:val="true"/>
        </w:rPr>
        <w:t xml:space="preserve"> </w:t>
      </w:r>
      <w:r>
        <w:rPr>
          <w:rFonts w:eastAsia="Times New Roman" w:hint="cs" w:cs="Calibri"/>
          <w:kern w:val="0"/>
          <w:sz w:val="24"/>
          <w:szCs w:val="24"/>
          <w:rtl w:val="true"/>
        </w:rPr>
        <w:t xml:space="preserve">ئەم تویژینەوەیە پشتی بەستوە بەڕێبازی تێكەڵ </w:t>
      </w:r>
      <w:r>
        <w:rPr>
          <w:rFonts w:eastAsia="Times New Roman" w:cs="Calibri" w:hint="cs"/>
          <w:kern w:val="0"/>
          <w:sz w:val="24"/>
          <w:szCs w:val="24"/>
          <w:rtl w:val="true"/>
        </w:rPr>
        <w:t xml:space="preserve">( </w:t>
      </w:r>
      <w:r>
        <w:rPr>
          <w:rFonts w:eastAsia="Times New Roman" w:hint="cs" w:cs="Calibri"/>
          <w:kern w:val="0"/>
          <w:sz w:val="24"/>
          <w:szCs w:val="24"/>
          <w:rtl w:val="true"/>
        </w:rPr>
        <w:t>چەندایەتی و چۆنایەتی</w:t>
      </w:r>
      <w:r>
        <w:rPr>
          <w:rFonts w:eastAsia="Times New Roman" w:cs="Calibri" w:hint="cs"/>
          <w:kern w:val="0"/>
          <w:sz w:val="24"/>
          <w:szCs w:val="24"/>
          <w:rtl w:val="true"/>
        </w:rPr>
        <w:t xml:space="preserve">) </w:t>
      </w:r>
      <w:r>
        <w:rPr>
          <w:rFonts w:eastAsia="Times New Roman" w:hint="cs" w:cs="Calibri"/>
          <w:kern w:val="0"/>
          <w:sz w:val="24"/>
          <w:szCs w:val="24"/>
          <w:rtl w:val="true"/>
        </w:rPr>
        <w:t>دەرکەوتن و فریکوێنسی ئامرازەکانی ناسراو و نەناسراو لەناو کۆرپەسیک کە لەیەک ملیۆن ووشەو،</w:t>
      </w:r>
      <w:r>
        <w:rPr>
          <w:rFonts w:eastAsia="Times New Roman" w:cs="Calibri"/>
          <w:kern w:val="0"/>
          <w:sz w:val="24"/>
          <w:szCs w:val="24"/>
        </w:rPr>
        <w:t>1,174,893</w:t>
      </w:r>
      <w:r>
        <w:rPr>
          <w:rFonts w:eastAsia="Times New Roman" w:cs="Calibri" w:hint="cs"/>
          <w:kern w:val="0"/>
          <w:sz w:val="24"/>
          <w:szCs w:val="24"/>
          <w:rtl w:val="true"/>
        </w:rPr>
        <w:t xml:space="preserve">  </w:t>
      </w:r>
      <w:r>
        <w:rPr>
          <w:rFonts w:eastAsia="Times New Roman" w:hint="cs" w:cs="Calibri"/>
          <w:kern w:val="0"/>
          <w:sz w:val="24"/>
          <w:szCs w:val="24"/>
          <w:rtl w:val="true"/>
        </w:rPr>
        <w:t>و تۆکن ی لەخۆگرتووە</w:t>
      </w:r>
      <w:r>
        <w:rPr>
          <w:rFonts w:eastAsia="Times New Roman" w:cs="Calibri" w:hint="cs"/>
          <w:kern w:val="0"/>
          <w:sz w:val="24"/>
          <w:szCs w:val="24"/>
          <w:rtl w:val="true"/>
        </w:rPr>
        <w:t xml:space="preserve">. </w:t>
      </w:r>
      <w:r>
        <w:rPr>
          <w:rFonts w:eastAsia="Times New Roman" w:hint="cs" w:cs="Calibri"/>
          <w:kern w:val="0"/>
          <w:sz w:val="24"/>
          <w:szCs w:val="24"/>
          <w:rtl w:val="true"/>
        </w:rPr>
        <w:t xml:space="preserve">لە </w:t>
      </w:r>
      <w:r>
        <w:rPr>
          <w:rFonts w:eastAsia="Times New Roman" w:cs="Calibri"/>
          <w:kern w:val="0"/>
          <w:sz w:val="24"/>
          <w:szCs w:val="24"/>
          <w:rtl w:val="true"/>
        </w:rPr>
        <w:t xml:space="preserve">نێوان </w:t>
      </w:r>
      <w:r>
        <w:rPr>
          <w:rFonts w:eastAsia="Times New Roman" w:cs="Calibri"/>
          <w:kern w:val="0"/>
          <w:sz w:val="24"/>
          <w:szCs w:val="24"/>
        </w:rPr>
        <w:t>1</w:t>
      </w:r>
      <w:r>
        <w:rPr>
          <w:rFonts w:eastAsia="Times New Roman" w:cs="Calibri"/>
          <w:kern w:val="0"/>
          <w:sz w:val="24"/>
          <w:szCs w:val="24"/>
          <w:rtl w:val="true"/>
        </w:rPr>
        <w:t xml:space="preserve">ی کانوونی دووەم تا </w:t>
      </w:r>
      <w:r>
        <w:rPr>
          <w:rFonts w:eastAsia="Times New Roman" w:cs="Calibri"/>
          <w:kern w:val="0"/>
          <w:sz w:val="24"/>
          <w:szCs w:val="24"/>
        </w:rPr>
        <w:t>31</w:t>
      </w:r>
      <w:r>
        <w:rPr>
          <w:rFonts w:eastAsia="Times New Roman" w:cs="Calibri"/>
          <w:kern w:val="0"/>
          <w:sz w:val="24"/>
          <w:szCs w:val="24"/>
          <w:rtl w:val="true"/>
        </w:rPr>
        <w:t xml:space="preserve">ی ئاداری </w:t>
      </w:r>
      <w:r>
        <w:rPr>
          <w:rFonts w:eastAsia="Times New Roman" w:cs="Calibri"/>
          <w:kern w:val="0"/>
          <w:sz w:val="24"/>
          <w:szCs w:val="24"/>
        </w:rPr>
        <w:t>2026</w:t>
      </w:r>
      <w:r>
        <w:rPr>
          <w:rFonts w:eastAsia="Times New Roman" w:cs="Calibri"/>
          <w:kern w:val="0"/>
          <w:sz w:val="24"/>
          <w:szCs w:val="24"/>
          <w:rtl w:val="true"/>
        </w:rPr>
        <w:t xml:space="preserve"> </w:t>
      </w:r>
      <w:r>
        <w:rPr>
          <w:rFonts w:eastAsia="Times New Roman" w:cs="Calibri"/>
          <w:kern w:val="0"/>
          <w:sz w:val="24"/>
          <w:szCs w:val="24"/>
          <w:rtl w:val="true"/>
        </w:rPr>
        <w:t>لە دە سەرچاوەی هەواڵی ئابووریی</w:t>
      </w:r>
      <w:r>
        <w:rPr>
          <w:rFonts w:eastAsia="Times New Roman" w:cs="Calibri"/>
          <w:kern w:val="0"/>
          <w:sz w:val="24"/>
          <w:szCs w:val="24"/>
          <w:rtl w:val="true"/>
        </w:rPr>
        <w:t>.</w:t>
      </w:r>
      <w:r>
        <w:rPr>
          <w:rFonts w:eastAsia="Times New Roman" w:hint="cs" w:cs="Calibri"/>
          <w:kern w:val="0"/>
          <w:sz w:val="24"/>
          <w:szCs w:val="24"/>
          <w:rtl w:val="true"/>
        </w:rPr>
        <w:t>هەواڵەکان کۆکراونەتەوە ئەم لێکۆڵینەوەیە وەڵامی دووپرسیاری تویژینەوە دەداتەوە کە زۆرترین ئامرازەکانی  دووبارەبوەوە  لەناسراو و نەناسراوەکامانەن وە زۆرترین جۆری ئاماژەی واتاییان  بەکام جۆری ئارتیکلە دەستنیشاندەکرێت</w:t>
      </w:r>
      <w:r>
        <w:rPr>
          <w:rFonts w:eastAsia="Times New Roman" w:cs="Calibri"/>
          <w:kern w:val="0"/>
          <w:sz w:val="24"/>
          <w:szCs w:val="24"/>
          <w:rtl w:val="true"/>
        </w:rPr>
        <w:t xml:space="preserve">. </w:t>
      </w:r>
      <w:r>
        <w:rPr>
          <w:rFonts w:eastAsia="Times New Roman" w:hint="cs" w:cs="Calibri"/>
          <w:kern w:val="0"/>
          <w:sz w:val="24"/>
          <w:szCs w:val="24"/>
          <w:rtl w:val="true"/>
        </w:rPr>
        <w:t xml:space="preserve">بەبەکارهێنانی سۆفتویری سکێچ ئینجین ڕێبازی  </w:t>
      </w:r>
      <w:r>
        <w:rPr>
          <w:rFonts w:eastAsia="Times New Roman" w:cs="Calibri"/>
          <w:kern w:val="0"/>
          <w:sz w:val="24"/>
          <w:szCs w:val="24"/>
          <w:rtl w:val="true"/>
        </w:rPr>
        <w:t xml:space="preserve"> </w:t>
      </w:r>
      <w:r>
        <w:rPr>
          <w:rFonts w:eastAsia="Times New Roman" w:cs="Calibri"/>
          <w:b/>
          <w:bCs/>
          <w:kern w:val="0"/>
          <w:sz w:val="24"/>
          <w:szCs w:val="24"/>
        </w:rPr>
        <w:t>Semantic Coding</w:t>
      </w:r>
      <w:r>
        <w:rPr>
          <w:rFonts w:eastAsia="Times New Roman" w:cs="Calibri"/>
          <w:b/>
          <w:bCs/>
          <w:kern w:val="0"/>
          <w:sz w:val="24"/>
          <w:szCs w:val="24"/>
          <w:rtl w:val="true"/>
        </w:rPr>
        <w:t xml:space="preserve"> </w:t>
      </w:r>
      <w:r>
        <w:rPr>
          <w:rFonts w:eastAsia="Times New Roman" w:cs="Calibri"/>
          <w:kern w:val="0"/>
          <w:sz w:val="24"/>
          <w:szCs w:val="24"/>
          <w:rtl w:val="true"/>
        </w:rPr>
        <w:t>کۆدکردنی واتایی</w:t>
      </w:r>
      <w:r>
        <w:rPr>
          <w:rFonts w:eastAsia="Times New Roman" w:hint="cs" w:cs="Calibri"/>
          <w:kern w:val="0"/>
          <w:sz w:val="24"/>
          <w:szCs w:val="24"/>
          <w:rtl w:val="true"/>
        </w:rPr>
        <w:t xml:space="preserve">  دەرکەوت لە </w:t>
      </w:r>
      <w:r>
        <w:rPr>
          <w:rFonts w:eastAsia="Times New Roman" w:hint="cs" w:cs="Calibri"/>
          <w:kern w:val="0"/>
          <w:sz w:val="24"/>
          <w:szCs w:val="24"/>
        </w:rPr>
        <w:t>٢٠٠٠</w:t>
      </w:r>
      <w:r>
        <w:rPr>
          <w:rFonts w:eastAsia="Times New Roman" w:hint="cs" w:cs="Calibri"/>
          <w:kern w:val="0"/>
          <w:sz w:val="24"/>
          <w:szCs w:val="24"/>
          <w:rtl w:val="true"/>
        </w:rPr>
        <w:t xml:space="preserve"> نمونەی  </w:t>
      </w:r>
      <w:r>
        <w:rPr>
          <w:rFonts w:eastAsia="Times New Roman" w:cs="Calibri"/>
          <w:kern w:val="0"/>
          <w:sz w:val="24"/>
          <w:szCs w:val="24"/>
          <w:rtl w:val="true"/>
        </w:rPr>
        <w:t xml:space="preserve"> </w:t>
      </w:r>
      <w:r>
        <w:rPr>
          <w:rFonts w:eastAsia="Times New Roman" w:cs="Calibri"/>
          <w:kern w:val="0"/>
          <w:sz w:val="24"/>
          <w:szCs w:val="24"/>
        </w:rPr>
        <w:t>1,402</w:t>
      </w:r>
      <w:r>
        <w:rPr>
          <w:rFonts w:eastAsia="Times New Roman" w:cs="Calibri"/>
          <w:kern w:val="0"/>
          <w:sz w:val="24"/>
          <w:szCs w:val="24"/>
          <w:rtl w:val="true"/>
        </w:rPr>
        <w:t xml:space="preserve"> </w:t>
      </w:r>
      <w:r>
        <w:rPr>
          <w:rFonts w:eastAsia="Times New Roman" w:cs="Calibri"/>
          <w:kern w:val="0"/>
          <w:sz w:val="24"/>
          <w:szCs w:val="24"/>
          <w:rtl w:val="true"/>
        </w:rPr>
        <w:t xml:space="preserve">ئاماژەی تایبەت، </w:t>
      </w:r>
      <w:r>
        <w:rPr>
          <w:rFonts w:eastAsia="Times New Roman" w:cs="Calibri"/>
          <w:kern w:val="0"/>
          <w:sz w:val="24"/>
          <w:szCs w:val="24"/>
        </w:rPr>
        <w:t>598</w:t>
      </w:r>
      <w:r>
        <w:rPr>
          <w:rFonts w:eastAsia="Times New Roman" w:cs="Calibri"/>
          <w:kern w:val="0"/>
          <w:sz w:val="24"/>
          <w:szCs w:val="24"/>
          <w:rtl w:val="true"/>
        </w:rPr>
        <w:t xml:space="preserve"> </w:t>
      </w:r>
      <w:r>
        <w:rPr>
          <w:rFonts w:eastAsia="Times New Roman" w:cs="Calibri"/>
          <w:kern w:val="0"/>
          <w:sz w:val="24"/>
          <w:szCs w:val="24"/>
          <w:rtl w:val="true"/>
        </w:rPr>
        <w:t xml:space="preserve">ئاماژەی ناتایبەت، </w:t>
      </w:r>
      <w:r>
        <w:rPr>
          <w:rFonts w:eastAsia="Times New Roman" w:cs="Calibri"/>
          <w:kern w:val="0"/>
          <w:sz w:val="24"/>
          <w:szCs w:val="24"/>
        </w:rPr>
        <w:t>19</w:t>
      </w:r>
      <w:r>
        <w:rPr>
          <w:rFonts w:eastAsia="Times New Roman" w:cs="Calibri"/>
          <w:kern w:val="0"/>
          <w:sz w:val="24"/>
          <w:szCs w:val="24"/>
          <w:rtl w:val="true"/>
        </w:rPr>
        <w:t xml:space="preserve"> </w:t>
      </w:r>
      <w:r>
        <w:rPr>
          <w:rFonts w:eastAsia="Times New Roman" w:cs="Calibri"/>
          <w:kern w:val="0"/>
          <w:sz w:val="24"/>
          <w:szCs w:val="24"/>
          <w:rtl w:val="true"/>
        </w:rPr>
        <w:t xml:space="preserve">ئاماژەی گشتی، و </w:t>
      </w:r>
      <w:r>
        <w:rPr>
          <w:rFonts w:eastAsia="Times New Roman" w:cs="Calibri"/>
          <w:kern w:val="0"/>
          <w:sz w:val="24"/>
          <w:szCs w:val="24"/>
        </w:rPr>
        <w:t>1,981</w:t>
      </w:r>
      <w:r>
        <w:rPr>
          <w:rFonts w:eastAsia="Times New Roman" w:cs="Calibri"/>
          <w:kern w:val="0"/>
          <w:sz w:val="24"/>
          <w:szCs w:val="24"/>
          <w:rtl w:val="true"/>
        </w:rPr>
        <w:t xml:space="preserve"> </w:t>
      </w:r>
      <w:r>
        <w:rPr>
          <w:rFonts w:eastAsia="Times New Roman" w:cs="Calibri"/>
          <w:kern w:val="0"/>
          <w:sz w:val="24"/>
          <w:szCs w:val="24"/>
          <w:rtl w:val="true"/>
        </w:rPr>
        <w:t>ئاماژەی</w:t>
      </w:r>
      <w:r>
        <w:rPr>
          <w:rFonts w:eastAsia="Times New Roman" w:hint="cs" w:cs="Calibri"/>
          <w:kern w:val="0"/>
          <w:sz w:val="24"/>
          <w:szCs w:val="24"/>
          <w:rtl w:val="true"/>
        </w:rPr>
        <w:t xml:space="preserve"> واتای</w:t>
      </w:r>
      <w:r>
        <w:rPr>
          <w:rFonts w:eastAsia="Times New Roman" w:cs="Calibri"/>
          <w:kern w:val="0"/>
          <w:sz w:val="24"/>
          <w:szCs w:val="24"/>
          <w:rtl w:val="true"/>
        </w:rPr>
        <w:t xml:space="preserve"> </w:t>
      </w:r>
      <w:r>
        <w:rPr>
          <w:rFonts w:eastAsia="Times New Roman" w:hint="cs" w:cs="Calibri"/>
          <w:b/>
          <w:b/>
          <w:bCs/>
          <w:kern w:val="0"/>
          <w:sz w:val="24"/>
          <w:szCs w:val="24"/>
          <w:rtl w:val="true"/>
        </w:rPr>
        <w:t>تایبەتی</w:t>
      </w:r>
      <w:r>
        <w:rPr>
          <w:rFonts w:eastAsia="Times New Roman" w:hint="cs" w:cs="Calibri"/>
          <w:kern w:val="0"/>
          <w:sz w:val="24"/>
          <w:szCs w:val="24"/>
          <w:rtl w:val="true"/>
        </w:rPr>
        <w:t xml:space="preserve">  ناگشت</w:t>
      </w:r>
      <w:r>
        <w:rPr>
          <w:rFonts w:eastAsia="Times New Roman" w:hint="cs" w:cs="Calibri"/>
          <w:kern w:val="0"/>
          <w:sz w:val="24"/>
          <w:szCs w:val="24"/>
          <w:rtl w:val="true"/>
          <w:lang w:bidi="ckb-IQ"/>
        </w:rPr>
        <w:t>ی</w:t>
      </w:r>
      <w:r>
        <w:rPr>
          <w:rFonts w:eastAsia="Times New Roman" w:hint="cs" w:cs="Calibri"/>
          <w:kern w:val="0"/>
          <w:sz w:val="24"/>
          <w:szCs w:val="24"/>
          <w:rtl w:val="true"/>
        </w:rPr>
        <w:t xml:space="preserve"> </w:t>
      </w:r>
      <w:r>
        <w:rPr>
          <w:rFonts w:eastAsia="Times New Roman" w:cs="Calibri"/>
          <w:kern w:val="0"/>
          <w:sz w:val="24"/>
          <w:szCs w:val="24"/>
          <w:rtl w:val="true"/>
        </w:rPr>
        <w:t xml:space="preserve">( </w:t>
      </w:r>
      <w:r>
        <w:rPr>
          <w:rFonts w:eastAsia="Times New Roman" w:cs="Calibri"/>
          <w:kern w:val="0"/>
          <w:sz w:val="24"/>
          <w:szCs w:val="24"/>
          <w:lang w:bidi="ckb-IQ"/>
        </w:rPr>
        <w:t>Non-generic</w:t>
      </w:r>
      <w:r>
        <w:rPr>
          <w:rFonts w:eastAsia="Times New Roman" w:cs="Calibri"/>
          <w:kern w:val="0"/>
          <w:sz w:val="24"/>
          <w:szCs w:val="24"/>
          <w:rtl w:val="true"/>
          <w:lang w:bidi="ckb-IQ"/>
        </w:rPr>
        <w:t xml:space="preserve"> )</w:t>
      </w:r>
      <w:r>
        <w:rPr>
          <w:rFonts w:eastAsia="Times New Roman" w:hint="cs" w:cs="Calibri"/>
          <w:kern w:val="0"/>
          <w:sz w:val="24"/>
          <w:szCs w:val="24"/>
          <w:rtl w:val="true"/>
        </w:rPr>
        <w:t>پییکدەهێنن</w:t>
      </w:r>
      <w:r>
        <w:rPr>
          <w:rFonts w:eastAsia="Times New Roman" w:cs="Calibri"/>
          <w:kern w:val="0"/>
          <w:sz w:val="24"/>
          <w:szCs w:val="24"/>
          <w:rtl w:val="true"/>
        </w:rPr>
        <w:t xml:space="preserve"> ؛ ئەمەش نیشان دەدات کە هەواڵی ئابووریی ئینگلیزی بە شێوەیەکی بەهێز </w:t>
      </w:r>
      <w:r>
        <w:rPr>
          <w:rFonts w:eastAsia="Times New Roman" w:hint="cs" w:cs="Calibri"/>
          <w:kern w:val="0"/>
          <w:sz w:val="24"/>
          <w:szCs w:val="24"/>
          <w:rtl w:val="true"/>
        </w:rPr>
        <w:t xml:space="preserve">و زیاتر پشت بە واتای </w:t>
      </w:r>
      <w:r>
        <w:rPr>
          <w:rFonts w:eastAsia="Times New Roman" w:cs="Calibri"/>
          <w:kern w:val="0"/>
          <w:sz w:val="24"/>
          <w:szCs w:val="24"/>
          <w:rtl w:val="true"/>
        </w:rPr>
        <w:t xml:space="preserve"> ئاماژەی تایبەت</w:t>
      </w:r>
      <w:r>
        <w:rPr>
          <w:rFonts w:eastAsia="Times New Roman" w:cs="Calibri" w:hint="cs"/>
          <w:kern w:val="0"/>
          <w:sz w:val="24"/>
          <w:szCs w:val="24"/>
          <w:rtl w:val="true"/>
        </w:rPr>
        <w:t>(</w:t>
      </w:r>
      <w:r>
        <w:rPr>
          <w:rFonts w:eastAsia="Times New Roman" w:cs="Calibri"/>
          <w:b/>
          <w:bCs/>
          <w:kern w:val="0"/>
          <w:sz w:val="24"/>
          <w:szCs w:val="24"/>
        </w:rPr>
        <w:t>specific reference</w:t>
      </w:r>
      <w:r>
        <w:rPr>
          <w:rFonts w:eastAsia="Times New Roman" w:cs="Calibri"/>
          <w:b/>
          <w:bCs/>
          <w:kern w:val="0"/>
          <w:sz w:val="24"/>
          <w:szCs w:val="24"/>
          <w:rtl w:val="true"/>
        </w:rPr>
        <w:t xml:space="preserve"> </w:t>
      </w:r>
      <w:r>
        <w:rPr>
          <w:rFonts w:eastAsia="Times New Roman" w:cs="Calibri"/>
          <w:b/>
          <w:bCs/>
          <w:kern w:val="0"/>
          <w:sz w:val="24"/>
          <w:szCs w:val="24"/>
          <w:rtl w:val="true"/>
        </w:rPr>
        <w:t xml:space="preserve"> </w:t>
      </w:r>
      <w:r>
        <w:rPr>
          <w:rFonts w:eastAsia="Times New Roman" w:cs="Calibri" w:hint="cs"/>
          <w:b/>
          <w:bCs/>
          <w:kern w:val="0"/>
          <w:sz w:val="24"/>
          <w:szCs w:val="24"/>
          <w:rtl w:val="true"/>
        </w:rPr>
        <w:t xml:space="preserve"> </w:t>
      </w:r>
      <w:r>
        <w:rPr>
          <w:rFonts w:eastAsia="Times New Roman" w:cs="Calibri"/>
          <w:kern w:val="0"/>
          <w:sz w:val="24"/>
          <w:szCs w:val="24"/>
          <w:rtl w:val="true"/>
        </w:rPr>
        <w:t>(</w:t>
      </w:r>
      <w:r>
        <w:rPr>
          <w:rFonts w:eastAsia="Times New Roman" w:cs="Calibri" w:hint="cs"/>
          <w:kern w:val="0"/>
          <w:sz w:val="24"/>
          <w:szCs w:val="24"/>
          <w:rtl w:val="true"/>
        </w:rPr>
        <w:t xml:space="preserve"> </w:t>
      </w:r>
      <w:r>
        <w:rPr>
          <w:rFonts w:eastAsia="Times New Roman" w:hint="cs" w:cs="Calibri"/>
          <w:kern w:val="0"/>
          <w:sz w:val="24"/>
          <w:szCs w:val="24"/>
          <w:rtl w:val="true"/>
        </w:rPr>
        <w:t xml:space="preserve">بۆ </w:t>
      </w:r>
      <w:r>
        <w:rPr>
          <w:rFonts w:eastAsia="Times New Roman" w:cs="Calibri"/>
          <w:kern w:val="0"/>
          <w:sz w:val="24"/>
          <w:szCs w:val="24"/>
          <w:rtl w:val="true"/>
        </w:rPr>
        <w:t>بارودۆخی</w:t>
      </w:r>
      <w:r>
        <w:rPr>
          <w:rFonts w:eastAsia="Times New Roman" w:cs="Calibri"/>
          <w:kern w:val="0"/>
          <w:sz w:val="24"/>
          <w:szCs w:val="24"/>
          <w:rtl w:val="true"/>
        </w:rPr>
        <w:t xml:space="preserve"> </w:t>
      </w:r>
      <w:r>
        <w:rPr>
          <w:rFonts w:eastAsia="Times New Roman" w:cs="Calibri"/>
          <w:kern w:val="0"/>
          <w:sz w:val="24"/>
          <w:szCs w:val="24"/>
          <w:rtl w:val="true"/>
        </w:rPr>
        <w:t xml:space="preserve"> هەواڵی</w:t>
      </w:r>
      <w:r>
        <w:rPr>
          <w:rFonts w:eastAsia="Times New Roman" w:hint="cs" w:cs="Calibri"/>
          <w:kern w:val="0"/>
          <w:sz w:val="24"/>
          <w:szCs w:val="24"/>
          <w:rtl w:val="true"/>
        </w:rPr>
        <w:t xml:space="preserve"> ئابوری دەبەستێت </w:t>
      </w:r>
      <w:r>
        <w:rPr>
          <w:rFonts w:eastAsia="Times New Roman" w:cs="Calibri"/>
          <w:kern w:val="0"/>
          <w:sz w:val="24"/>
          <w:szCs w:val="24"/>
          <w:rtl w:val="true"/>
        </w:rPr>
        <w:t xml:space="preserve">. </w:t>
      </w:r>
      <w:r>
        <w:rPr>
          <w:rFonts w:eastAsia="Times New Roman" w:cs="Calibri"/>
          <w:kern w:val="0"/>
          <w:sz w:val="24"/>
          <w:szCs w:val="24"/>
          <w:rtl w:val="true"/>
        </w:rPr>
        <w:t>بە گشتی، ئەنجامەکان دەردەخەن کە هەڵبژاردنی ئامراز لە ڕۆژنامەنووسیی ئابووریدا یارمەتی دە</w:t>
      </w:r>
      <w:r>
        <w:rPr>
          <w:rFonts w:eastAsia="Times New Roman" w:hint="cs" w:cs="Calibri"/>
          <w:kern w:val="0"/>
          <w:sz w:val="24"/>
          <w:szCs w:val="24"/>
          <w:rtl w:val="true"/>
        </w:rPr>
        <w:t>رە</w:t>
      </w:r>
      <w:r>
        <w:rPr>
          <w:rFonts w:eastAsia="Times New Roman" w:cs="Calibri"/>
          <w:kern w:val="0"/>
          <w:sz w:val="24"/>
          <w:szCs w:val="24"/>
          <w:rtl w:val="true"/>
        </w:rPr>
        <w:t xml:space="preserve"> بۆ پیشاندانی</w:t>
      </w:r>
      <w:r>
        <w:rPr>
          <w:rFonts w:eastAsia="Times New Roman" w:hint="cs" w:cs="Calibri"/>
          <w:kern w:val="0"/>
          <w:sz w:val="24"/>
          <w:szCs w:val="24"/>
          <w:rtl w:val="true"/>
        </w:rPr>
        <w:t xml:space="preserve"> و ناساندنی دامەزراوەکان </w:t>
      </w:r>
      <w:r>
        <w:rPr>
          <w:rFonts w:eastAsia="Times New Roman" w:cs="Calibri"/>
          <w:kern w:val="0"/>
          <w:sz w:val="24"/>
          <w:szCs w:val="24"/>
          <w:rtl w:val="true"/>
        </w:rPr>
        <w:t xml:space="preserve">، </w:t>
      </w:r>
      <w:r>
        <w:rPr>
          <w:rFonts w:eastAsia="Times New Roman" w:hint="cs" w:cs="Calibri"/>
          <w:kern w:val="0"/>
          <w:sz w:val="24"/>
          <w:szCs w:val="24"/>
          <w:rtl w:val="true"/>
        </w:rPr>
        <w:t xml:space="preserve">دیارخستنی </w:t>
      </w:r>
      <w:r>
        <w:rPr>
          <w:rFonts w:eastAsia="Times New Roman" w:cs="Calibri"/>
          <w:kern w:val="0"/>
          <w:sz w:val="24"/>
          <w:szCs w:val="24"/>
          <w:rtl w:val="true"/>
        </w:rPr>
        <w:t>ڕووداو</w:t>
      </w:r>
      <w:r>
        <w:rPr>
          <w:rFonts w:eastAsia="Times New Roman" w:hint="cs" w:cs="Calibri"/>
          <w:kern w:val="0"/>
          <w:sz w:val="24"/>
          <w:szCs w:val="24"/>
          <w:rtl w:val="true"/>
        </w:rPr>
        <w:t>ەکان</w:t>
      </w:r>
      <w:r>
        <w:rPr>
          <w:rFonts w:eastAsia="Times New Roman" w:cs="Calibri"/>
          <w:kern w:val="0"/>
          <w:sz w:val="24"/>
          <w:szCs w:val="24"/>
          <w:rtl w:val="true"/>
        </w:rPr>
        <w:t>، و پێوەرە ئابوورییەکان وەک شتگەلێکی ناسراو، تایبەت، و جێگیرکراو لە چوارچێ</w:t>
      </w:r>
      <w:r>
        <w:rPr>
          <w:rFonts w:eastAsia="Times New Roman" w:hint="cs" w:cs="Calibri"/>
          <w:kern w:val="0"/>
          <w:sz w:val="24"/>
          <w:szCs w:val="24"/>
          <w:rtl w:val="true"/>
        </w:rPr>
        <w:t>وەی هەواڵی ئابوری بەتەواوی ڕەنگی داوەتەوە</w:t>
      </w:r>
      <w:r>
        <w:rPr>
          <w:rFonts w:eastAsia="Times New Roman" w:cs="Times New Roman" w:ascii="Times New Roman" w:hAnsi="Times New Roman"/>
          <w:kern w:val="0"/>
          <w:sz w:val="24"/>
          <w:szCs w:val="24"/>
          <w:rtl w:val="true"/>
        </w:rPr>
        <w:t>.</w:t>
      </w:r>
    </w:p>
    <w:p>
      <w:pPr>
        <w:pStyle w:val="Normal"/>
        <w:bidi w:val="1"/>
        <w:spacing w:lineRule="auto" w:line="240" w:before="280" w:after="280"/>
        <w:ind w:end="0"/>
        <w:jc w:val="start"/>
        <w:rPr>
          <w:rFonts w:eastAsia="Times New Roman" w:cs="Calibri"/>
          <w:kern w:val="0"/>
          <w:sz w:val="24"/>
          <w:szCs w:val="24"/>
        </w:rPr>
      </w:pPr>
      <w:r>
        <w:rPr>
          <w:rFonts w:eastAsia="Times New Roman" w:cs="Calibri"/>
          <w:b/>
          <w:b/>
          <w:bCs/>
          <w:kern w:val="0"/>
          <w:sz w:val="24"/>
          <w:szCs w:val="24"/>
          <w:rtl w:val="true"/>
        </w:rPr>
        <w:t>وشە سەرەکییەکان</w:t>
      </w:r>
      <w:r>
        <w:rPr>
          <w:rFonts w:eastAsia="Times New Roman" w:cs="Calibri"/>
          <w:b/>
          <w:bCs/>
          <w:kern w:val="0"/>
          <w:sz w:val="24"/>
          <w:szCs w:val="24"/>
          <w:rtl w:val="true"/>
        </w:rPr>
        <w:t>:</w:t>
      </w:r>
      <w:r>
        <w:rPr>
          <w:rFonts w:eastAsia="Times New Roman" w:cs="Calibri"/>
          <w:kern w:val="0"/>
          <w:sz w:val="24"/>
          <w:szCs w:val="24"/>
          <w:rtl w:val="true"/>
        </w:rPr>
        <w:t xml:space="preserve"> </w:t>
      </w:r>
      <w:r>
        <w:rPr>
          <w:rFonts w:eastAsia="Times New Roman" w:cs="Calibri"/>
          <w:kern w:val="0"/>
          <w:sz w:val="24"/>
          <w:szCs w:val="24"/>
          <w:rtl w:val="true"/>
        </w:rPr>
        <w:t xml:space="preserve">ئامرازەکانی </w:t>
      </w:r>
      <w:r>
        <w:rPr>
          <w:rFonts w:eastAsia="Times New Roman" w:hint="cs" w:cs="Calibri"/>
          <w:kern w:val="0"/>
          <w:sz w:val="24"/>
          <w:szCs w:val="24"/>
          <w:rtl w:val="true"/>
        </w:rPr>
        <w:t xml:space="preserve">ناسراو و نەناسراو ی </w:t>
      </w:r>
      <w:r>
        <w:rPr>
          <w:rFonts w:eastAsia="Times New Roman" w:cs="Calibri"/>
          <w:kern w:val="0"/>
          <w:sz w:val="24"/>
          <w:szCs w:val="24"/>
          <w:rtl w:val="true"/>
        </w:rPr>
        <w:t>ئینگلیزی، ئاماژەی واتایی، هەواڵی ئابووری، زمانەوانیی کۆرپەس</w:t>
      </w:r>
    </w:p>
    <w:p>
      <w:pPr>
        <w:pStyle w:val="Normal"/>
        <w:bidi w:val="1"/>
        <w:spacing w:lineRule="auto" w:line="240" w:before="280" w:after="280"/>
        <w:ind w:end="0"/>
        <w:jc w:val="start"/>
        <w:rPr>
          <w:rFonts w:eastAsia="Times New Roman" w:cs="Calibri"/>
          <w:kern w:val="0"/>
          <w:sz w:val="24"/>
          <w:szCs w:val="24"/>
        </w:rPr>
      </w:pPr>
      <w:r>
        <w:rPr>
          <w:rFonts w:eastAsia="Times New Roman" w:cs="Calibri"/>
          <w:kern w:val="0"/>
          <w:sz w:val="24"/>
          <w:szCs w:val="24"/>
          <w:rtl w:val="true"/>
        </w:rPr>
      </w:r>
    </w:p>
    <w:p>
      <w:pPr>
        <w:pStyle w:val="Normal"/>
        <w:bidi w:val="1"/>
        <w:spacing w:lineRule="auto" w:line="240" w:before="280" w:after="280"/>
        <w:ind w:end="0"/>
        <w:jc w:val="start"/>
        <w:rPr>
          <w:rFonts w:eastAsia="Times New Roman" w:cs="Calibri"/>
          <w:kern w:val="0"/>
          <w:sz w:val="24"/>
          <w:szCs w:val="24"/>
        </w:rPr>
      </w:pPr>
      <w:r>
        <w:rPr>
          <w:rFonts w:eastAsia="Times New Roman" w:cs="Calibri"/>
          <w:kern w:val="0"/>
          <w:sz w:val="24"/>
          <w:szCs w:val="24"/>
          <w:rtl w:val="true"/>
        </w:rPr>
      </w:r>
    </w:p>
    <w:p>
      <w:pPr>
        <w:pStyle w:val="Normal"/>
        <w:bidi w:val="1"/>
        <w:spacing w:lineRule="auto" w:line="240" w:before="280" w:after="280"/>
        <w:ind w:end="0"/>
        <w:jc w:val="start"/>
        <w:rPr>
          <w:rFonts w:eastAsia="Times New Roman" w:cs="Calibri"/>
          <w:kern w:val="0"/>
          <w:sz w:val="24"/>
          <w:szCs w:val="24"/>
        </w:rPr>
      </w:pPr>
      <w:r>
        <w:rPr>
          <w:rFonts w:eastAsia="Times New Roman" w:cs="Calibri"/>
          <w:kern w:val="0"/>
          <w:sz w:val="24"/>
          <w:szCs w:val="24"/>
          <w:rtl w:val="true"/>
        </w:rPr>
      </w:r>
    </w:p>
    <w:p>
      <w:pPr>
        <w:pStyle w:val="Normal"/>
        <w:tabs>
          <w:tab w:val="clear" w:pos="720"/>
          <w:tab w:val="right" w:pos="8640" w:leader="none"/>
        </w:tabs>
        <w:spacing w:lineRule="auto" w:line="276" w:before="0" w:after="0"/>
        <w:jc w:val="center"/>
        <w:rPr>
          <w:rFonts w:ascii="Times New Roman" w:hAnsi="Times New Roman" w:cs="Times New Roman"/>
          <w:b/>
          <w:bCs/>
          <w:sz w:val="32"/>
          <w:szCs w:val="32"/>
          <w:lang w:bidi="ar-IQ"/>
        </w:rPr>
      </w:pPr>
      <w:r>
        <w:rPr>
          <w:rFonts w:cs="Times New Roman" w:ascii="Times New Roman" w:hAnsi="Times New Roman"/>
          <w:b/>
          <w:bCs/>
          <w:sz w:val="32"/>
          <w:szCs w:val="32"/>
          <w:lang w:bidi="ar-IQ"/>
        </w:rPr>
        <w:t>Definite and Indefinite Articles in English Economic News: A Corpus-Based Study of Semantic Reference Types</w:t>
      </w:r>
    </w:p>
    <w:p>
      <w:pPr>
        <w:pStyle w:val="Normal"/>
        <w:tabs>
          <w:tab w:val="clear" w:pos="720"/>
          <w:tab w:val="right" w:pos="8640" w:leader="none"/>
        </w:tabs>
        <w:spacing w:lineRule="auto" w:line="276" w:before="0" w:after="0"/>
        <w:jc w:val="center"/>
        <w:rPr>
          <w:rFonts w:ascii="Times New Roman" w:hAnsi="Times New Roman" w:cs="Times New Roman"/>
          <w:b/>
          <w:bCs/>
          <w:sz w:val="32"/>
          <w:szCs w:val="32"/>
          <w:lang w:bidi="ar-IQ"/>
        </w:rPr>
      </w:pPr>
      <w:r>
        <w:rPr>
          <w:rFonts w:cs="Times New Roman" w:ascii="Times New Roman" w:hAnsi="Times New Roman"/>
          <w:b/>
          <w:bCs/>
          <w:sz w:val="32"/>
          <w:szCs w:val="32"/>
          <w:lang w:bidi="ar-IQ"/>
        </w:rPr>
      </w:r>
    </w:p>
    <w:p>
      <w:pPr>
        <w:pStyle w:val="Normal"/>
        <w:tabs>
          <w:tab w:val="clear" w:pos="720"/>
          <w:tab w:val="right" w:pos="8640" w:leader="none"/>
        </w:tabs>
        <w:bidi w:val="1"/>
        <w:spacing w:lineRule="auto" w:line="276" w:before="0" w:after="0"/>
        <w:ind w:end="0"/>
        <w:jc w:val="center"/>
        <w:rPr>
          <w:rFonts w:ascii="Arial" w:hAnsi="Arial" w:cs="Arial" w:hint="cs"/>
          <w:b/>
          <w:bCs/>
          <w:sz w:val="16"/>
          <w:szCs w:val="16"/>
          <w:lang w:bidi="ar-IQ"/>
        </w:rPr>
      </w:pPr>
      <w:r>
        <w:rPr>
          <w:rFonts w:cs="Arial" w:hint="cs" w:ascii="Arial" w:hAnsi="Arial"/>
          <w:b/>
          <w:bCs/>
          <w:sz w:val="16"/>
          <w:szCs w:val="16"/>
          <w:rtl w:val="true"/>
          <w:lang w:bidi="ar-IQ"/>
        </w:rPr>
      </w:r>
    </w:p>
    <w:p>
      <w:pPr>
        <w:pStyle w:val="Normal"/>
        <w:tabs>
          <w:tab w:val="clear" w:pos="720"/>
          <w:tab w:val="right" w:pos="8640" w:leader="none"/>
        </w:tabs>
        <w:spacing w:lineRule="auto" w:line="276" w:before="0" w:after="0"/>
        <w:jc w:val="center"/>
        <w:rPr>
          <w:rFonts w:ascii="Times New Roman" w:hAnsi="Times New Roman" w:cs="Times New Roman"/>
          <w:b/>
          <w:bCs/>
          <w:sz w:val="28"/>
          <w:szCs w:val="28"/>
          <w:vertAlign w:val="superscript"/>
          <w:lang w:val="en"/>
        </w:rPr>
      </w:pPr>
      <w:r>
        <w:rPr>
          <w:rFonts w:cs="Times New Roman" w:ascii="Times New Roman" w:hAnsi="Times New Roman"/>
          <w:b/>
          <w:bCs/>
          <w:sz w:val="28"/>
          <w:szCs w:val="28"/>
          <w:lang w:val="en"/>
        </w:rPr>
        <w:t xml:space="preserve">Nabaz Muhammad Saeed </w:t>
      </w:r>
      <w:r>
        <w:rPr>
          <w:rFonts w:cs="Times New Roman" w:ascii="Times New Roman" w:hAnsi="Times New Roman"/>
          <w:b/>
          <w:bCs/>
          <w:sz w:val="28"/>
          <w:szCs w:val="28"/>
          <w:vertAlign w:val="superscript"/>
          <w:lang w:val="en"/>
        </w:rPr>
        <w:t xml:space="preserve">1 </w:t>
      </w:r>
      <w:r>
        <w:rPr>
          <w:rFonts w:cs="Times New Roman" w:ascii="Times New Roman" w:hAnsi="Times New Roman"/>
          <w:b/>
          <w:bCs/>
          <w:sz w:val="28"/>
          <w:szCs w:val="28"/>
        </w:rPr>
        <w:t xml:space="preserve">                       </w:t>
      </w:r>
      <w:r>
        <w:rPr>
          <w:rFonts w:cs="Times New Roman" w:ascii="Times New Roman" w:hAnsi="Times New Roman"/>
          <w:b/>
          <w:bCs/>
          <w:sz w:val="28"/>
          <w:szCs w:val="28"/>
          <w:lang w:val="en"/>
        </w:rPr>
        <w:t>Salih Ibrhim Ahmed</w:t>
      </w:r>
      <w:r>
        <w:rPr>
          <w:rFonts w:cs="Times New Roman" w:ascii="Times New Roman" w:hAnsi="Times New Roman"/>
          <w:b/>
          <w:bCs/>
          <w:sz w:val="28"/>
          <w:szCs w:val="28"/>
          <w:vertAlign w:val="superscript"/>
          <w:lang w:val="en"/>
        </w:rPr>
        <w:t>2</w:t>
      </w:r>
    </w:p>
    <w:p>
      <w:pPr>
        <w:pStyle w:val="Normal"/>
        <w:tabs>
          <w:tab w:val="clear" w:pos="720"/>
          <w:tab w:val="right" w:pos="8640" w:leader="none"/>
        </w:tabs>
        <w:bidi w:val="1"/>
        <w:spacing w:lineRule="auto" w:line="276" w:before="0" w:after="0"/>
        <w:ind w:end="0"/>
        <w:jc w:val="start"/>
        <w:rPr>
          <w:rFonts w:ascii="Times New Roman" w:hAnsi="Times New Roman" w:cs="Times New Roman"/>
          <w:b/>
          <w:bCs/>
          <w:kern w:val="0"/>
        </w:rPr>
      </w:pPr>
      <w:r>
        <w:rPr>
          <w:rFonts w:cs="Times New Roman" w:hint="cs" w:ascii="Times New Roman" w:hAnsi="Times New Roman"/>
          <w:b/>
          <w:bCs/>
          <w:kern w:val="0"/>
          <w:rtl w:val="true"/>
          <w:lang w:val="en"/>
        </w:rPr>
        <w:t xml:space="preserve">           </w:t>
      </w:r>
      <w:hyperlink r:id="rId6">
        <w:r>
          <w:rPr>
            <w:rStyle w:val="Hyperlink"/>
            <w:rFonts w:cs="Times New Roman" w:ascii="Times New Roman" w:hAnsi="Times New Roman"/>
            <w:b/>
            <w:bCs/>
            <w:kern w:val="0"/>
            <w:lang w:val="en"/>
          </w:rPr>
          <w:t>salih.ahmed@uor.edu.krd</w:t>
        </w:r>
      </w:hyperlink>
      <w:r>
        <w:rPr>
          <w:rFonts w:cs="Times New Roman" w:ascii="Times New Roman" w:hAnsi="Times New Roman"/>
          <w:b/>
          <w:bCs/>
          <w:kern w:val="0"/>
        </w:rPr>
        <w:t xml:space="preserve">           </w:t>
      </w:r>
      <w:r>
        <w:rPr>
          <w:rFonts w:cs="Times New Roman" w:hint="cs" w:ascii="Times New Roman" w:hAnsi="Times New Roman"/>
          <w:b/>
          <w:bCs/>
          <w:kern w:val="0"/>
          <w:lang w:val="en"/>
        </w:rPr>
        <w:t xml:space="preserve">                     </w:t>
      </w:r>
      <w:r>
        <w:rPr>
          <w:rFonts w:cs="Times New Roman" w:ascii="Times New Roman" w:hAnsi="Times New Roman"/>
          <w:b/>
          <w:bCs/>
          <w:kern w:val="0"/>
          <w:lang w:val="en"/>
        </w:rPr>
        <w:t xml:space="preserve">   </w:t>
      </w:r>
      <w:r>
        <w:rPr>
          <w:rFonts w:cs="Times New Roman" w:hint="cs" w:ascii="Times New Roman" w:hAnsi="Times New Roman"/>
          <w:b/>
          <w:bCs/>
          <w:kern w:val="0"/>
          <w:lang w:val="en" w:bidi="ar-IQ"/>
        </w:rPr>
        <w:t xml:space="preserve"> </w:t>
      </w:r>
      <w:r>
        <w:rPr>
          <w:rFonts w:cs="Times New Roman" w:hint="cs" w:ascii="Times New Roman" w:hAnsi="Times New Roman"/>
          <w:b/>
          <w:bCs/>
          <w:kern w:val="0"/>
          <w:lang w:val="en"/>
        </w:rPr>
        <w:t xml:space="preserve">  </w:t>
      </w:r>
      <w:hyperlink r:id="rId7">
        <w:r>
          <w:rPr>
            <w:rStyle w:val="Hyperlink"/>
            <w:rFonts w:cs="Times New Roman" w:ascii="Times New Roman" w:hAnsi="Times New Roman"/>
            <w:b/>
            <w:bCs/>
            <w:kern w:val="0"/>
            <w:lang w:val="en"/>
          </w:rPr>
          <w:t>nabaz.431624001@uor.edu.krd</w:t>
        </w:r>
      </w:hyperlink>
      <w:r>
        <w:rPr>
          <w:rFonts w:cs="Times New Roman" w:hint="cs" w:ascii="Times New Roman" w:hAnsi="Times New Roman"/>
          <w:b/>
          <w:bCs/>
          <w:kern w:val="0"/>
          <w:rtl w:val="true"/>
        </w:rPr>
        <w:t xml:space="preserve">                                    </w:t>
      </w:r>
    </w:p>
    <w:p>
      <w:pPr>
        <w:pStyle w:val="Normal"/>
        <w:tabs>
          <w:tab w:val="clear" w:pos="720"/>
          <w:tab w:val="right" w:pos="8640" w:leader="none"/>
        </w:tabs>
        <w:bidi w:val="1"/>
        <w:spacing w:lineRule="auto" w:line="276" w:before="0" w:after="0"/>
        <w:ind w:end="0"/>
        <w:jc w:val="start"/>
        <w:rPr>
          <w:rFonts w:ascii="Simplified Arabic" w:hAnsi="Simplified Arabic" w:cs="Simplified Arabic"/>
          <w:b/>
          <w:bCs/>
          <w:lang w:bidi="ar-IQ"/>
        </w:rPr>
      </w:pPr>
      <w:r>
        <w:rPr>
          <w:rFonts w:cs="Simplified Arabic" w:hint="cs" w:ascii="Simplified Arabic" w:hAnsi="Simplified Arabic"/>
          <w:b/>
          <w:bCs/>
          <w:rtl w:val="true"/>
          <w:lang w:bidi="ar-IQ"/>
        </w:rPr>
        <w:t xml:space="preserve">  </w:t>
      </w:r>
    </w:p>
    <w:p>
      <w:pPr>
        <w:pStyle w:val="Normal"/>
        <w:tabs>
          <w:tab w:val="clear" w:pos="720"/>
          <w:tab w:val="right" w:pos="8640" w:leader="none"/>
        </w:tabs>
        <w:spacing w:lineRule="auto" w:line="276" w:before="0" w:after="0"/>
        <w:rPr>
          <w:rFonts w:ascii="Times New Roman" w:hAnsi="Times New Roman" w:cs="Times New Roman"/>
          <w:sz w:val="28"/>
          <w:szCs w:val="28"/>
          <w:lang w:bidi="ar-IQ"/>
        </w:rPr>
      </w:pPr>
      <w:r>
        <w:rPr>
          <w:rFonts w:cs="Times New Roman" w:ascii="Times New Roman" w:hAnsi="Times New Roman"/>
          <w:b/>
          <w:bCs/>
          <w:sz w:val="28"/>
          <w:szCs w:val="28"/>
          <w:lang w:bidi="ar-IQ"/>
        </w:rPr>
        <w:t xml:space="preserve"> </w:t>
      </w:r>
      <w:r>
        <w:rPr>
          <w:rFonts w:cs="Times New Roman" w:ascii="Times New Roman" w:hAnsi="Times New Roman"/>
          <w:sz w:val="28"/>
          <w:szCs w:val="28"/>
          <w:vertAlign w:val="superscript"/>
          <w:lang w:val="en" w:bidi="ar-IQ"/>
        </w:rPr>
        <w:t>1</w:t>
      </w:r>
      <w:r>
        <w:rPr>
          <w:rFonts w:cs="Times New Roman" w:ascii="Times New Roman" w:hAnsi="Times New Roman"/>
          <w:sz w:val="28"/>
          <w:szCs w:val="28"/>
          <w:lang w:val="en" w:bidi="ar-IQ"/>
        </w:rPr>
        <w:t>Department of English, College Basic  Education, Raparin of University</w:t>
      </w:r>
      <w:r>
        <w:rPr>
          <w:rFonts w:cs="Times New Roman" w:ascii="Times New Roman" w:hAnsi="Times New Roman"/>
          <w:sz w:val="28"/>
          <w:szCs w:val="28"/>
        </w:rPr>
        <w:t xml:space="preserve"> </w:t>
      </w:r>
      <w:r>
        <w:rPr>
          <w:rFonts w:cs="Times New Roman" w:hint="cs" w:ascii="Times New Roman" w:hAnsi="Times New Roman"/>
          <w:sz w:val="28"/>
          <w:szCs w:val="28"/>
        </w:rPr>
        <w:t xml:space="preserve"> </w:t>
      </w:r>
      <w:r>
        <w:rPr>
          <w:rFonts w:cs="Times New Roman" w:ascii="Times New Roman" w:hAnsi="Times New Roman"/>
          <w:sz w:val="28"/>
          <w:szCs w:val="28"/>
          <w:vertAlign w:val="superscript"/>
          <w:lang w:val="en"/>
        </w:rPr>
        <w:t>2</w:t>
      </w:r>
      <w:r>
        <w:rPr>
          <w:rFonts w:cs="Times New Roman" w:ascii="Times New Roman" w:hAnsi="Times New Roman"/>
          <w:sz w:val="28"/>
          <w:szCs w:val="28"/>
          <w:lang w:val="en"/>
        </w:rPr>
        <w:t xml:space="preserve">Department of English, College of  Education, Raparin of University   </w:t>
      </w:r>
    </w:p>
    <w:p>
      <w:pPr>
        <w:pStyle w:val="Normal"/>
        <w:keepNext w:val="true"/>
        <w:spacing w:lineRule="auto" w:line="240" w:before="280" w:after="0"/>
        <w:rPr>
          <w:rFonts w:ascii="Times New Roman" w:hAnsi="Times New Roman" w:eastAsia="Times New Roman" w:cs="Times New Roman"/>
          <w:kern w:val="0"/>
          <w:sz w:val="28"/>
        </w:rPr>
      </w:pPr>
      <w:r>
        <w:rPr>
          <w:rFonts w:eastAsia="Times New Roman" w:cs="Times New Roman" w:ascii="Times New Roman" w:hAnsi="Times New Roman"/>
          <w:b/>
          <w:kern w:val="0"/>
          <w:sz w:val="32"/>
        </w:rPr>
        <w:t>Abstract</w:t>
      </w:r>
    </w:p>
    <w:p>
      <w:pPr>
        <w:pStyle w:val="Normal"/>
        <w:spacing w:lineRule="auto" w:line="240" w:before="0" w:after="0"/>
        <w:ind w:firstLine="567" w:end="0"/>
        <w:jc w:val="both"/>
        <w:rPr/>
      </w:pPr>
      <w:r>
        <w:rPr>
          <w:rFonts w:eastAsia="Times New Roman" w:cs="Times New Roman" w:ascii="Times New Roman" w:hAnsi="Times New Roman"/>
          <w:kern w:val="0"/>
          <w:sz w:val="28"/>
        </w:rPr>
        <w:t xml:space="preserve">This study examines the occurrence of the definite article </w:t>
      </w:r>
      <w:r>
        <w:rPr>
          <w:rFonts w:eastAsia="Times New Roman" w:cs="Times New Roman" w:ascii="Times New Roman" w:hAnsi="Times New Roman"/>
          <w:i/>
          <w:kern w:val="0"/>
          <w:sz w:val="28"/>
        </w:rPr>
        <w:t>the</w:t>
      </w:r>
      <w:r>
        <w:rPr>
          <w:rFonts w:eastAsia="Times New Roman" w:cs="Times New Roman" w:ascii="Times New Roman" w:hAnsi="Times New Roman"/>
          <w:kern w:val="0"/>
          <w:sz w:val="28"/>
        </w:rPr>
        <w:t xml:space="preserve"> and the indefinite articles </w:t>
      </w:r>
      <w:r>
        <w:rPr>
          <w:rFonts w:eastAsia="Times New Roman" w:cs="Times New Roman" w:ascii="Times New Roman" w:hAnsi="Times New Roman"/>
          <w:i/>
          <w:kern w:val="0"/>
          <w:sz w:val="28"/>
        </w:rPr>
        <w:t>a/an</w:t>
      </w:r>
      <w:r>
        <w:rPr>
          <w:rFonts w:eastAsia="Times New Roman" w:cs="Times New Roman" w:ascii="Times New Roman" w:hAnsi="Times New Roman"/>
          <w:kern w:val="0"/>
          <w:sz w:val="28"/>
        </w:rPr>
        <w:t xml:space="preserve">, and the semantic reference categories they mark in contemporary English economic news. It addresses the limited corpus-based evidence on how professional economic journalism uses overt articles to organize definiteness, specificity, and genericity across outlets. Using a mixed-methods corpus-based design, the study combines quantitative frequency analysis with qualitative semantic reference coding. The data come from the English Economic News Corpus 2026 (EENC-2026), a balanced, specialized, manually compiled, synchronic one-million-word corpus collected from ten English-language economic news outlets between January 1 and March 31, 2026; after Sketch Engine processing, it contained 1,174,893 tokens. Frequencies were extracted for </w:t>
      </w:r>
      <w:r>
        <w:rPr>
          <w:rFonts w:eastAsia="Times New Roman" w:cs="Times New Roman" w:ascii="Times New Roman" w:hAnsi="Times New Roman"/>
          <w:i/>
          <w:kern w:val="0"/>
          <w:sz w:val="28"/>
        </w:rPr>
        <w:t>the</w:t>
      </w:r>
      <w:r>
        <w:rPr>
          <w:rFonts w:eastAsia="Times New Roman" w:cs="Times New Roman" w:ascii="Times New Roman" w:hAnsi="Times New Roman"/>
          <w:kern w:val="0"/>
          <w:sz w:val="28"/>
        </w:rPr>
        <w:t xml:space="preserve">, </w:t>
      </w:r>
      <w:r>
        <w:rPr>
          <w:rFonts w:eastAsia="Times New Roman" w:cs="Times New Roman" w:ascii="Times New Roman" w:hAnsi="Times New Roman"/>
          <w:i/>
          <w:kern w:val="0"/>
          <w:sz w:val="28"/>
        </w:rPr>
        <w:t>a</w:t>
      </w:r>
      <w:r>
        <w:rPr>
          <w:rFonts w:eastAsia="Times New Roman" w:cs="Times New Roman" w:ascii="Times New Roman" w:hAnsi="Times New Roman"/>
          <w:kern w:val="0"/>
          <w:sz w:val="28"/>
        </w:rPr>
        <w:t xml:space="preserve">, </w:t>
      </w:r>
      <w:r>
        <w:rPr>
          <w:rFonts w:eastAsia="Times New Roman" w:cs="Times New Roman" w:ascii="Times New Roman" w:hAnsi="Times New Roman"/>
          <w:i/>
          <w:kern w:val="0"/>
          <w:sz w:val="28"/>
        </w:rPr>
        <w:t>an</w:t>
      </w:r>
      <w:r>
        <w:rPr>
          <w:rFonts w:eastAsia="Times New Roman" w:cs="Times New Roman" w:ascii="Times New Roman" w:hAnsi="Times New Roman"/>
          <w:kern w:val="0"/>
          <w:sz w:val="28"/>
        </w:rPr>
        <w:t xml:space="preserve">, and total </w:t>
      </w:r>
      <w:r>
        <w:rPr>
          <w:rFonts w:eastAsia="Times New Roman" w:cs="Times New Roman" w:ascii="Times New Roman" w:hAnsi="Times New Roman"/>
          <w:i/>
          <w:kern w:val="0"/>
          <w:sz w:val="28"/>
        </w:rPr>
        <w:t>a/an</w:t>
      </w:r>
      <w:r>
        <w:rPr>
          <w:rFonts w:eastAsia="Times New Roman" w:cs="Times New Roman" w:ascii="Times New Roman" w:hAnsi="Times New Roman"/>
          <w:kern w:val="0"/>
          <w:sz w:val="28"/>
        </w:rPr>
        <w:t xml:space="preserve">. Semantic analysis was based on 2,000 randomly sampled noun phrases, with 100 definite and 100 indefinite samples from each outlet. The coded data were organized in Microsoft Excel and analyzed using IBM SPSS Statistics, Version 27, through cross-tabulations, chi-square tests, and inter-coder reliability on a 200-sample subset. The findings show that </w:t>
      </w:r>
      <w:r>
        <w:rPr>
          <w:rFonts w:eastAsia="Times New Roman" w:cs="Times New Roman" w:ascii="Times New Roman" w:hAnsi="Times New Roman"/>
          <w:i/>
          <w:kern w:val="0"/>
          <w:sz w:val="28"/>
        </w:rPr>
        <w:t>the</w:t>
      </w:r>
      <w:r>
        <w:rPr>
          <w:rFonts w:eastAsia="Times New Roman" w:cs="Times New Roman" w:ascii="Times New Roman" w:hAnsi="Times New Roman"/>
          <w:kern w:val="0"/>
          <w:sz w:val="28"/>
        </w:rPr>
        <w:t xml:space="preserve"> occurs 61,311 times, while </w:t>
      </w:r>
      <w:r>
        <w:rPr>
          <w:rFonts w:eastAsia="Times New Roman" w:cs="Times New Roman" w:ascii="Times New Roman" w:hAnsi="Times New Roman"/>
          <w:i/>
          <w:kern w:val="0"/>
          <w:sz w:val="28"/>
        </w:rPr>
        <w:t>a/an</w:t>
      </w:r>
      <w:r>
        <w:rPr>
          <w:rFonts w:eastAsia="Times New Roman" w:cs="Times New Roman" w:ascii="Times New Roman" w:hAnsi="Times New Roman"/>
          <w:kern w:val="0"/>
          <w:sz w:val="28"/>
        </w:rPr>
        <w:t xml:space="preserve"> occurs 25,368 times, representing 70.73% and 29.27% of overt article tokens, respectively. Semantic coding identifies 1,402 specific, 598 non-specific, 19 generic, and 1,981 non-generic references, showing that English economic news strongly favors specific and context-bound reference. Overall, the findings indicate that article choice in economic journalism helps present economic entities, events, and indicators as identifiable, specific, and situated in immediate news contexts.</w:t>
      </w:r>
    </w:p>
    <w:p>
      <w:pPr>
        <w:pStyle w:val="Normal"/>
        <w:spacing w:lineRule="auto" w:line="240" w:before="280" w:after="0"/>
        <w:jc w:val="both"/>
        <w:rPr/>
      </w:pPr>
      <w:r>
        <w:rPr>
          <w:rFonts w:eastAsia="Times New Roman" w:cs="Times New Roman" w:ascii="Times New Roman" w:hAnsi="Times New Roman"/>
          <w:b/>
          <w:kern w:val="0"/>
          <w:sz w:val="28"/>
        </w:rPr>
        <w:t>Keywords:</w:t>
      </w:r>
      <w:r>
        <w:rPr>
          <w:rFonts w:eastAsia="Times New Roman" w:cs="Times New Roman" w:ascii="Times New Roman" w:hAnsi="Times New Roman"/>
          <w:kern w:val="0"/>
          <w:sz w:val="28"/>
        </w:rPr>
        <w:t xml:space="preserve"> English Articles , Semantic Reference, Economic News, Corpus Linguistics</w:t>
      </w:r>
    </w:p>
    <w:p>
      <w:pPr>
        <w:pStyle w:val="Heading1"/>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1. Introduction</w:t>
      </w:r>
    </w:p>
    <w:p>
      <w:pPr>
        <w:pStyle w:val="Normal"/>
        <w:spacing w:lineRule="auto" w:line="240" w:before="0" w:after="0"/>
        <w:ind w:firstLine="567" w:end="0"/>
        <w:jc w:val="both"/>
        <w:rPr/>
      </w:pPr>
      <w:r>
        <w:rPr>
          <w:rFonts w:cs="Times New Roman" w:ascii="Times New Roman" w:hAnsi="Times New Roman"/>
          <w:sz w:val="28"/>
          <w:szCs w:val="28"/>
        </w:rPr>
        <w:t xml:space="preserve">English articles are compact grammatical markers with important discourse-semantic roles. The definite article </w:t>
      </w:r>
      <w:r>
        <w:rPr>
          <w:rFonts w:cs="Times New Roman" w:ascii="Times New Roman" w:hAnsi="Times New Roman"/>
          <w:i/>
          <w:sz w:val="28"/>
          <w:szCs w:val="28"/>
        </w:rPr>
        <w:t>the</w:t>
      </w:r>
      <w:r>
        <w:rPr>
          <w:rFonts w:cs="Times New Roman" w:ascii="Times New Roman" w:hAnsi="Times New Roman"/>
          <w:sz w:val="28"/>
          <w:szCs w:val="28"/>
        </w:rPr>
        <w:t xml:space="preserve"> generally presents a referent as identifiable, unique, recoverable from context, or shared knowledge, whereas </w:t>
      </w:r>
      <w:r>
        <w:rPr>
          <w:rFonts w:cs="Times New Roman" w:ascii="Times New Roman" w:hAnsi="Times New Roman"/>
          <w:i/>
          <w:sz w:val="28"/>
          <w:szCs w:val="28"/>
        </w:rPr>
        <w:t>a/an</w:t>
      </w:r>
      <w:r>
        <w:rPr>
          <w:rFonts w:cs="Times New Roman" w:ascii="Times New Roman" w:hAnsi="Times New Roman"/>
          <w:sz w:val="28"/>
          <w:szCs w:val="28"/>
        </w:rPr>
        <w:t xml:space="preserve"> usually introduces a referent as non-unique or newly introduced. However, article interpretation also depends on specificity and genericity, not only on article form (</w:t>
      </w:r>
      <w:hyperlink w:anchor="Hawkins_1978">
        <w:r>
          <w:rPr>
            <w:rStyle w:val="Hyperlink"/>
            <w:rFonts w:cs="Times New Roman" w:ascii="Times New Roman" w:hAnsi="Times New Roman"/>
            <w:sz w:val="28"/>
            <w:szCs w:val="28"/>
          </w:rPr>
          <w:t>Hawkins, 1978</w:t>
        </w:r>
      </w:hyperlink>
      <w:r>
        <w:rPr>
          <w:rFonts w:cs="Times New Roman" w:ascii="Times New Roman" w:hAnsi="Times New Roman"/>
          <w:sz w:val="28"/>
          <w:szCs w:val="28"/>
        </w:rPr>
        <w:t xml:space="preserve">; </w:t>
      </w:r>
      <w:hyperlink w:anchor="Huddleston_Pullum_2002">
        <w:r>
          <w:rPr>
            <w:rStyle w:val="Hyperlink"/>
            <w:rFonts w:cs="Times New Roman" w:ascii="Times New Roman" w:hAnsi="Times New Roman"/>
            <w:sz w:val="28"/>
            <w:szCs w:val="28"/>
          </w:rPr>
          <w:t>Huddleston &amp; Pullum, 2002</w:t>
        </w:r>
      </w:hyperlink>
      <w:r>
        <w:rPr>
          <w:rFonts w:cs="Times New Roman" w:ascii="Times New Roman" w:hAnsi="Times New Roman"/>
          <w:sz w:val="28"/>
          <w:szCs w:val="28"/>
        </w:rPr>
        <w:t xml:space="preserve">; </w:t>
      </w:r>
      <w:hyperlink w:anchor="Lyons_1999">
        <w:r>
          <w:rPr>
            <w:rStyle w:val="Hyperlink"/>
            <w:rFonts w:cs="Times New Roman" w:ascii="Times New Roman" w:hAnsi="Times New Roman"/>
            <w:sz w:val="28"/>
            <w:szCs w:val="28"/>
          </w:rPr>
          <w:t>Lyons, 1999</w:t>
        </w:r>
      </w:hyperlink>
      <w:r>
        <w:rPr>
          <w:rFonts w:cs="Times New Roman" w:ascii="Times New Roman" w:hAnsi="Times New Roman"/>
          <w:sz w:val="28"/>
          <w:szCs w:val="28"/>
        </w:rPr>
        <w:t>). These meanings are especially important in news discourse, where writers condense information and rely on shared institutional knowledge (</w:t>
      </w:r>
      <w:hyperlink w:anchor="Bednarek_Caple_2012">
        <w:r>
          <w:rPr>
            <w:rStyle w:val="Hyperlink"/>
            <w:rFonts w:cs="Times New Roman" w:ascii="Times New Roman" w:hAnsi="Times New Roman"/>
            <w:sz w:val="28"/>
            <w:szCs w:val="28"/>
          </w:rPr>
          <w:t>Bednarek &amp; Caple, 2012</w:t>
        </w:r>
      </w:hyperlink>
      <w:r>
        <w:rPr>
          <w:rFonts w:cs="Times New Roman" w:ascii="Times New Roman" w:hAnsi="Times New Roman"/>
          <w:sz w:val="28"/>
          <w:szCs w:val="28"/>
        </w:rPr>
        <w:t xml:space="preserve">; </w:t>
      </w:r>
      <w:hyperlink w:anchor="Bell_1991">
        <w:r>
          <w:rPr>
            <w:rStyle w:val="Hyperlink"/>
            <w:rFonts w:cs="Times New Roman" w:ascii="Times New Roman" w:hAnsi="Times New Roman"/>
            <w:sz w:val="28"/>
            <w:szCs w:val="28"/>
          </w:rPr>
          <w:t>Bell, 1991</w:t>
        </w:r>
      </w:hyperlink>
      <w:r>
        <w:rPr>
          <w:rFonts w:cs="Times New Roman" w:ascii="Times New Roman" w:hAnsi="Times New Roman"/>
          <w:sz w:val="28"/>
          <w:szCs w:val="28"/>
        </w:rPr>
        <w:t>).</w:t>
      </w:r>
    </w:p>
    <w:p>
      <w:pPr>
        <w:pStyle w:val="Normal"/>
        <w:spacing w:lineRule="auto" w:line="240" w:before="0" w:after="0"/>
        <w:ind w:firstLine="567" w:end="0"/>
        <w:jc w:val="both"/>
        <w:rPr/>
      </w:pPr>
      <w:r>
        <w:rPr>
          <w:rFonts w:cs="Times New Roman" w:ascii="Times New Roman" w:hAnsi="Times New Roman"/>
          <w:sz w:val="28"/>
          <w:szCs w:val="28"/>
        </w:rPr>
        <w:t>Economic news intensifies this need because it repeatedly names markets, central banks, prices, indicators, policies, and reports, often through dense noun phrases. This register is therefore suitable for examining how article choice helps organize identifiable, specific, and context-bound reference (</w:t>
      </w:r>
      <w:hyperlink w:anchor="Akbarova_2024">
        <w:r>
          <w:rPr>
            <w:rStyle w:val="Hyperlink"/>
            <w:rFonts w:cs="Times New Roman" w:ascii="Times New Roman" w:hAnsi="Times New Roman"/>
            <w:sz w:val="28"/>
            <w:szCs w:val="28"/>
          </w:rPr>
          <w:t>Akbarova, 2024</w:t>
        </w:r>
      </w:hyperlink>
      <w:r>
        <w:rPr>
          <w:rFonts w:cs="Times New Roman" w:ascii="Times New Roman" w:hAnsi="Times New Roman"/>
          <w:sz w:val="28"/>
          <w:szCs w:val="28"/>
        </w:rPr>
        <w:t xml:space="preserve">; </w:t>
      </w:r>
      <w:hyperlink w:anchor="Li_Gao_2023">
        <w:r>
          <w:rPr>
            <w:rStyle w:val="Hyperlink"/>
            <w:rFonts w:cs="Times New Roman" w:ascii="Times New Roman" w:hAnsi="Times New Roman"/>
            <w:sz w:val="28"/>
            <w:szCs w:val="28"/>
          </w:rPr>
          <w:t>Li &amp; Gao, 2023</w:t>
        </w:r>
      </w:hyperlink>
      <w:r>
        <w:rPr>
          <w:rFonts w:cs="Times New Roman" w:ascii="Times New Roman" w:hAnsi="Times New Roman"/>
          <w:sz w:val="28"/>
          <w:szCs w:val="28"/>
        </w:rPr>
        <w:t xml:space="preserve">). The present study examines definite and indefinite articles in EENC-2026, a balanced one-million-word corpus manually compiled from ten English-language economic news outlets. It asks whether </w:t>
      </w:r>
      <w:r>
        <w:rPr>
          <w:rFonts w:cs="Times New Roman" w:ascii="Times New Roman" w:hAnsi="Times New Roman"/>
          <w:i/>
          <w:sz w:val="28"/>
          <w:szCs w:val="28"/>
        </w:rPr>
        <w:t>the</w:t>
      </w:r>
      <w:r>
        <w:rPr>
          <w:rFonts w:cs="Times New Roman" w:ascii="Times New Roman" w:hAnsi="Times New Roman"/>
          <w:sz w:val="28"/>
          <w:szCs w:val="28"/>
        </w:rPr>
        <w:t xml:space="preserve"> is more frequent than </w:t>
      </w:r>
      <w:r>
        <w:rPr>
          <w:rFonts w:cs="Times New Roman" w:ascii="Times New Roman" w:hAnsi="Times New Roman"/>
          <w:i/>
          <w:sz w:val="28"/>
          <w:szCs w:val="28"/>
        </w:rPr>
        <w:t>a/an</w:t>
      </w:r>
      <w:r>
        <w:rPr>
          <w:rFonts w:cs="Times New Roman" w:ascii="Times New Roman" w:hAnsi="Times New Roman"/>
          <w:sz w:val="28"/>
          <w:szCs w:val="28"/>
        </w:rPr>
        <w:t>, how article-marked noun phrases express definiteness, specificity, and genericity, and how frequencies vary across outlets.</w:t>
      </w:r>
    </w:p>
    <w:p>
      <w:pPr>
        <w:pStyle w:val="Normal"/>
        <w:spacing w:lineRule="auto" w:line="240" w:before="0" w:after="0"/>
        <w:ind w:firstLine="567" w:end="0"/>
        <w:jc w:val="both"/>
        <w:rPr/>
      </w:pPr>
      <w:r>
        <w:rPr>
          <w:rFonts w:cs="Times New Roman" w:ascii="Times New Roman" w:hAnsi="Times New Roman"/>
          <w:sz w:val="28"/>
          <w:szCs w:val="28"/>
        </w:rPr>
        <w:t>The study is significant because it combines corpus-frequency evidence with semantic coding and inter-coder reliability. It therefore treats articles not as minor function words, but as reference-management devices that help economic journalists present entities, institutions, and events as identifiable, specific, and situated in immediate news contexts</w:t>
      </w:r>
      <w:r>
        <w:rPr>
          <w:rFonts w:cs="Times New Roman" w:ascii="Times New Roman" w:hAnsi="Times New Roman"/>
        </w:rPr>
        <w:t>.</w:t>
      </w:r>
    </w:p>
    <w:p>
      <w:pPr>
        <w:pStyle w:val="Heading1"/>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2. Literature Review</w:t>
      </w:r>
    </w:p>
    <w:p>
      <w:pPr>
        <w:pStyle w:val="Normal"/>
        <w:spacing w:lineRule="auto" w:line="240" w:before="0" w:after="0"/>
        <w:ind w:firstLine="567" w:end="0"/>
        <w:jc w:val="both"/>
        <w:rPr/>
      </w:pPr>
      <w:r>
        <w:rPr>
          <w:rFonts w:cs="Times New Roman" w:ascii="Times New Roman" w:hAnsi="Times New Roman"/>
          <w:sz w:val="28"/>
          <w:szCs w:val="28"/>
        </w:rPr>
        <w:t xml:space="preserve">The English article system is traditionally described through the contrast between definiteness and indefiniteness. The definite article </w:t>
      </w:r>
      <w:r>
        <w:rPr>
          <w:rFonts w:cs="Times New Roman" w:ascii="Times New Roman" w:hAnsi="Times New Roman"/>
          <w:i/>
          <w:sz w:val="28"/>
          <w:szCs w:val="28"/>
        </w:rPr>
        <w:t>the</w:t>
      </w:r>
      <w:r>
        <w:rPr>
          <w:rFonts w:cs="Times New Roman" w:ascii="Times New Roman" w:hAnsi="Times New Roman"/>
          <w:sz w:val="28"/>
          <w:szCs w:val="28"/>
        </w:rPr>
        <w:t xml:space="preserve"> signals that a referent is identifiable to the reader, whereas </w:t>
      </w:r>
      <w:r>
        <w:rPr>
          <w:rFonts w:cs="Times New Roman" w:ascii="Times New Roman" w:hAnsi="Times New Roman"/>
          <w:i/>
          <w:sz w:val="28"/>
          <w:szCs w:val="28"/>
        </w:rPr>
        <w:t>a/an</w:t>
      </w:r>
      <w:r>
        <w:rPr>
          <w:rFonts w:cs="Times New Roman" w:ascii="Times New Roman" w:hAnsi="Times New Roman"/>
          <w:sz w:val="28"/>
          <w:szCs w:val="28"/>
        </w:rPr>
        <w:t xml:space="preserve"> usually introduces one member of a class or a referent that is not yet uniquely identifiable. Standard grammars treat this contrast as central to English noun-phrase interpretation (</w:t>
      </w:r>
      <w:hyperlink w:anchor="Biber_1999">
        <w:r>
          <w:rPr>
            <w:rStyle w:val="Hyperlink"/>
            <w:rFonts w:cs="Times New Roman" w:ascii="Times New Roman" w:hAnsi="Times New Roman"/>
            <w:sz w:val="28"/>
            <w:szCs w:val="28"/>
          </w:rPr>
          <w:t>Biber et al., 1999</w:t>
        </w:r>
      </w:hyperlink>
      <w:r>
        <w:rPr>
          <w:rFonts w:cs="Times New Roman" w:ascii="Times New Roman" w:hAnsi="Times New Roman"/>
          <w:sz w:val="28"/>
          <w:szCs w:val="28"/>
        </w:rPr>
        <w:t xml:space="preserve">; </w:t>
      </w:r>
      <w:hyperlink w:anchor="Huddleston_Pullum_2002">
        <w:r>
          <w:rPr>
            <w:rStyle w:val="Hyperlink"/>
            <w:rFonts w:cs="Times New Roman" w:ascii="Times New Roman" w:hAnsi="Times New Roman"/>
            <w:sz w:val="28"/>
            <w:szCs w:val="28"/>
          </w:rPr>
          <w:t>Huddleston &amp; Pullum, 2002</w:t>
        </w:r>
      </w:hyperlink>
      <w:r>
        <w:rPr>
          <w:rFonts w:cs="Times New Roman" w:ascii="Times New Roman" w:hAnsi="Times New Roman"/>
          <w:sz w:val="28"/>
          <w:szCs w:val="28"/>
        </w:rPr>
        <w:t xml:space="preserve">; </w:t>
      </w:r>
      <w:hyperlink w:anchor="Quirk_1985">
        <w:r>
          <w:rPr>
            <w:rStyle w:val="Hyperlink"/>
            <w:rFonts w:cs="Times New Roman" w:ascii="Times New Roman" w:hAnsi="Times New Roman"/>
            <w:sz w:val="28"/>
            <w:szCs w:val="28"/>
          </w:rPr>
          <w:t>Quirk et al., 1985</w:t>
        </w:r>
      </w:hyperlink>
      <w:r>
        <w:rPr>
          <w:rFonts w:cs="Times New Roman" w:ascii="Times New Roman" w:hAnsi="Times New Roman"/>
          <w:sz w:val="28"/>
          <w:szCs w:val="28"/>
        </w:rPr>
        <w:t xml:space="preserve">). However, article meaning cannot be explained by form alone. A noun phrase with </w:t>
      </w:r>
      <w:r>
        <w:rPr>
          <w:rFonts w:cs="Times New Roman" w:ascii="Times New Roman" w:hAnsi="Times New Roman"/>
          <w:i/>
          <w:sz w:val="28"/>
          <w:szCs w:val="28"/>
        </w:rPr>
        <w:t>the</w:t>
      </w:r>
      <w:r>
        <w:rPr>
          <w:rFonts w:cs="Times New Roman" w:ascii="Times New Roman" w:hAnsi="Times New Roman"/>
          <w:sz w:val="28"/>
          <w:szCs w:val="28"/>
        </w:rPr>
        <w:t xml:space="preserve"> may be definite because of uniqueness, shared knowledge, or situational context, while an indefinite noun phrase may still be specific when the writer has a particular referent in mind.</w:t>
      </w:r>
    </w:p>
    <w:p>
      <w:pPr>
        <w:pStyle w:val="Normal"/>
        <w:spacing w:lineRule="auto" w:line="240" w:before="0" w:after="0"/>
        <w:ind w:firstLine="567" w:end="0"/>
        <w:jc w:val="both"/>
        <w:rPr/>
      </w:pPr>
      <w:r>
        <w:rPr>
          <w:rFonts w:cs="Times New Roman" w:ascii="Times New Roman" w:hAnsi="Times New Roman"/>
          <w:sz w:val="28"/>
          <w:szCs w:val="28"/>
        </w:rPr>
        <w:t>Theoretical studies of definiteness emphasize accessibility and identifiability. A reference is definite when the reader can identify the intended referent through previous discourse, contextual knowledge, uniqueness, or shared assumptions (</w:t>
      </w:r>
      <w:hyperlink w:anchor="Gundel_1993">
        <w:r>
          <w:rPr>
            <w:rStyle w:val="Hyperlink"/>
            <w:rFonts w:cs="Times New Roman" w:ascii="Times New Roman" w:hAnsi="Times New Roman"/>
            <w:sz w:val="28"/>
            <w:szCs w:val="28"/>
          </w:rPr>
          <w:t>Gundel et al., 1993</w:t>
        </w:r>
      </w:hyperlink>
      <w:r>
        <w:rPr>
          <w:rFonts w:cs="Times New Roman" w:ascii="Times New Roman" w:hAnsi="Times New Roman"/>
          <w:sz w:val="28"/>
          <w:szCs w:val="28"/>
        </w:rPr>
        <w:t xml:space="preserve">; </w:t>
      </w:r>
      <w:hyperlink w:anchor="Hawkins_1978">
        <w:r>
          <w:rPr>
            <w:rStyle w:val="Hyperlink"/>
            <w:rFonts w:cs="Times New Roman" w:ascii="Times New Roman" w:hAnsi="Times New Roman"/>
            <w:sz w:val="28"/>
            <w:szCs w:val="28"/>
          </w:rPr>
          <w:t>Hawkins, 1978</w:t>
        </w:r>
      </w:hyperlink>
      <w:r>
        <w:rPr>
          <w:rFonts w:cs="Times New Roman" w:ascii="Times New Roman" w:hAnsi="Times New Roman"/>
          <w:sz w:val="28"/>
          <w:szCs w:val="28"/>
        </w:rPr>
        <w:t xml:space="preserve">; </w:t>
      </w:r>
      <w:hyperlink w:anchor="Lyons_1999">
        <w:r>
          <w:rPr>
            <w:rStyle w:val="Hyperlink"/>
            <w:rFonts w:cs="Times New Roman" w:ascii="Times New Roman" w:hAnsi="Times New Roman"/>
            <w:sz w:val="28"/>
            <w:szCs w:val="28"/>
          </w:rPr>
          <w:t>Lyons, 1999</w:t>
        </w:r>
      </w:hyperlink>
      <w:r>
        <w:rPr>
          <w:rFonts w:cs="Times New Roman" w:ascii="Times New Roman" w:hAnsi="Times New Roman"/>
          <w:sz w:val="28"/>
          <w:szCs w:val="28"/>
        </w:rPr>
        <w:t xml:space="preserve">). This is highly relevant to economic news because journalists often refer to </w:t>
      </w:r>
      <w:r>
        <w:rPr>
          <w:rFonts w:cs="Times New Roman" w:ascii="Times New Roman" w:hAnsi="Times New Roman"/>
          <w:i/>
          <w:sz w:val="28"/>
          <w:szCs w:val="28"/>
        </w:rPr>
        <w:t>the government</w:t>
      </w:r>
      <w:r>
        <w:rPr>
          <w:rFonts w:cs="Times New Roman" w:ascii="Times New Roman" w:hAnsi="Times New Roman"/>
          <w:sz w:val="28"/>
          <w:szCs w:val="28"/>
        </w:rPr>
        <w:t xml:space="preserve">, </w:t>
      </w:r>
      <w:r>
        <w:rPr>
          <w:rFonts w:cs="Times New Roman" w:ascii="Times New Roman" w:hAnsi="Times New Roman"/>
          <w:i/>
          <w:sz w:val="28"/>
          <w:szCs w:val="28"/>
        </w:rPr>
        <w:t>the economy</w:t>
      </w:r>
      <w:r>
        <w:rPr>
          <w:rFonts w:cs="Times New Roman" w:ascii="Times New Roman" w:hAnsi="Times New Roman"/>
          <w:sz w:val="28"/>
          <w:szCs w:val="28"/>
        </w:rPr>
        <w:t xml:space="preserve">, </w:t>
      </w:r>
      <w:r>
        <w:rPr>
          <w:rFonts w:cs="Times New Roman" w:ascii="Times New Roman" w:hAnsi="Times New Roman"/>
          <w:i/>
          <w:sz w:val="28"/>
          <w:szCs w:val="28"/>
        </w:rPr>
        <w:t>the central bank</w:t>
      </w:r>
      <w:r>
        <w:rPr>
          <w:rFonts w:cs="Times New Roman" w:ascii="Times New Roman" w:hAnsi="Times New Roman"/>
          <w:sz w:val="28"/>
          <w:szCs w:val="28"/>
        </w:rPr>
        <w:t xml:space="preserve">, or </w:t>
      </w:r>
      <w:r>
        <w:rPr>
          <w:rFonts w:cs="Times New Roman" w:ascii="Times New Roman" w:hAnsi="Times New Roman"/>
          <w:i/>
          <w:sz w:val="28"/>
          <w:szCs w:val="28"/>
        </w:rPr>
        <w:t>the market</w:t>
      </w:r>
      <w:r>
        <w:rPr>
          <w:rFonts w:cs="Times New Roman" w:ascii="Times New Roman" w:hAnsi="Times New Roman"/>
          <w:sz w:val="28"/>
          <w:szCs w:val="28"/>
        </w:rPr>
        <w:t xml:space="preserve"> without lengthy introduction. The reader is expected to retrieve the referent from the economic context and from shared institutional knowledge.</w:t>
      </w:r>
    </w:p>
    <w:p>
      <w:pPr>
        <w:pStyle w:val="Normal"/>
        <w:spacing w:lineRule="auto" w:line="240" w:before="0" w:after="0"/>
        <w:ind w:firstLine="567" w:end="0"/>
        <w:jc w:val="both"/>
        <w:rPr/>
      </w:pPr>
      <w:r>
        <w:rPr>
          <w:rFonts w:cs="Times New Roman" w:ascii="Times New Roman" w:hAnsi="Times New Roman"/>
          <w:sz w:val="28"/>
          <w:szCs w:val="28"/>
        </w:rPr>
        <w:t>Specificity adds another layer to article interpretation. Definiteness concerns whether the reader can identify a referent, whereas specificity concerns whether the writer has a particular referent in mind. Indefinite noun phrases may therefore be referential or non-specific, depending on context (</w:t>
      </w:r>
      <w:hyperlink w:anchor="Fodor_Sag_1982">
        <w:r>
          <w:rPr>
            <w:rStyle w:val="Hyperlink"/>
            <w:rFonts w:cs="Times New Roman" w:ascii="Times New Roman" w:hAnsi="Times New Roman"/>
            <w:sz w:val="28"/>
            <w:szCs w:val="28"/>
          </w:rPr>
          <w:t>Fodor &amp; Sag, 1982</w:t>
        </w:r>
      </w:hyperlink>
      <w:r>
        <w:rPr>
          <w:rFonts w:cs="Times New Roman" w:ascii="Times New Roman" w:hAnsi="Times New Roman"/>
          <w:sz w:val="28"/>
          <w:szCs w:val="28"/>
        </w:rPr>
        <w:t xml:space="preserve">; </w:t>
      </w:r>
      <w:hyperlink w:anchor="Heim_1982">
        <w:r>
          <w:rPr>
            <w:rStyle w:val="Hyperlink"/>
            <w:rFonts w:cs="Times New Roman" w:ascii="Times New Roman" w:hAnsi="Times New Roman"/>
            <w:sz w:val="28"/>
            <w:szCs w:val="28"/>
          </w:rPr>
          <w:t>Heim, 1982</w:t>
        </w:r>
      </w:hyperlink>
      <w:r>
        <w:rPr>
          <w:rFonts w:cs="Times New Roman" w:ascii="Times New Roman" w:hAnsi="Times New Roman"/>
          <w:sz w:val="28"/>
          <w:szCs w:val="28"/>
        </w:rPr>
        <w:t xml:space="preserve">; </w:t>
      </w:r>
      <w:hyperlink w:anchor="von_Heusinger_2002">
        <w:r>
          <w:rPr>
            <w:rStyle w:val="Hyperlink"/>
            <w:rFonts w:cs="Times New Roman" w:ascii="Times New Roman" w:hAnsi="Times New Roman"/>
            <w:sz w:val="28"/>
            <w:szCs w:val="28"/>
          </w:rPr>
          <w:t>von Heusinger, 2002</w:t>
        </w:r>
      </w:hyperlink>
      <w:r>
        <w:rPr>
          <w:rFonts w:cs="Times New Roman" w:ascii="Times New Roman" w:hAnsi="Times New Roman"/>
          <w:sz w:val="28"/>
          <w:szCs w:val="28"/>
        </w:rPr>
        <w:t xml:space="preserve">). For example, </w:t>
      </w:r>
      <w:r>
        <w:rPr>
          <w:rFonts w:cs="Times New Roman" w:ascii="Times New Roman" w:hAnsi="Times New Roman"/>
          <w:i/>
          <w:sz w:val="28"/>
          <w:szCs w:val="28"/>
        </w:rPr>
        <w:t>a new report</w:t>
      </w:r>
      <w:r>
        <w:rPr>
          <w:rFonts w:cs="Times New Roman" w:ascii="Times New Roman" w:hAnsi="Times New Roman"/>
          <w:sz w:val="28"/>
          <w:szCs w:val="28"/>
        </w:rPr>
        <w:t xml:space="preserve"> may be indefinite but specific if it refers to a particular document, while </w:t>
      </w:r>
      <w:r>
        <w:rPr>
          <w:rFonts w:cs="Times New Roman" w:ascii="Times New Roman" w:hAnsi="Times New Roman"/>
          <w:i/>
          <w:sz w:val="28"/>
          <w:szCs w:val="28"/>
        </w:rPr>
        <w:t>a better recovery</w:t>
      </w:r>
      <w:r>
        <w:rPr>
          <w:rFonts w:cs="Times New Roman" w:ascii="Times New Roman" w:hAnsi="Times New Roman"/>
          <w:sz w:val="28"/>
          <w:szCs w:val="28"/>
        </w:rPr>
        <w:t xml:space="preserve"> may be non-specific if it refers to a possible future condition. This distinction is central to the present coding framework.</w:t>
      </w:r>
    </w:p>
    <w:p>
      <w:pPr>
        <w:pStyle w:val="Normal"/>
        <w:spacing w:lineRule="auto" w:line="240" w:before="0" w:after="0"/>
        <w:ind w:firstLine="567" w:end="0"/>
        <w:jc w:val="both"/>
        <w:rPr/>
      </w:pPr>
      <w:r>
        <w:rPr>
          <w:rFonts w:cs="Times New Roman" w:ascii="Times New Roman" w:hAnsi="Times New Roman"/>
          <w:sz w:val="28"/>
          <w:szCs w:val="28"/>
        </w:rPr>
        <w:t>Genericity concerns whether a noun phrase refers to a class, kind, domain, or general concept rather than a particular instance. Generic reference is a major semantic category in English noun-phrase interpretation (</w:t>
      </w:r>
      <w:hyperlink w:anchor="Carlson_1977">
        <w:r>
          <w:rPr>
            <w:rStyle w:val="Hyperlink"/>
            <w:rFonts w:cs="Times New Roman" w:ascii="Times New Roman" w:hAnsi="Times New Roman"/>
            <w:sz w:val="28"/>
            <w:szCs w:val="28"/>
          </w:rPr>
          <w:t>Carlson, 1977</w:t>
        </w:r>
      </w:hyperlink>
      <w:r>
        <w:rPr>
          <w:rFonts w:cs="Times New Roman" w:ascii="Times New Roman" w:hAnsi="Times New Roman"/>
          <w:sz w:val="28"/>
          <w:szCs w:val="28"/>
        </w:rPr>
        <w:t xml:space="preserve">; </w:t>
      </w:r>
      <w:hyperlink w:anchor="Carlson_Pelletier_1995">
        <w:r>
          <w:rPr>
            <w:rStyle w:val="Hyperlink"/>
            <w:rFonts w:cs="Times New Roman" w:ascii="Times New Roman" w:hAnsi="Times New Roman"/>
            <w:sz w:val="28"/>
            <w:szCs w:val="28"/>
          </w:rPr>
          <w:t>Carlson &amp; Pelletier, 1995</w:t>
        </w:r>
      </w:hyperlink>
      <w:r>
        <w:rPr>
          <w:rFonts w:cs="Times New Roman" w:ascii="Times New Roman" w:hAnsi="Times New Roman"/>
          <w:sz w:val="28"/>
          <w:szCs w:val="28"/>
        </w:rPr>
        <w:t xml:space="preserve">; </w:t>
      </w:r>
      <w:hyperlink w:anchor="Krifka_1995">
        <w:r>
          <w:rPr>
            <w:rStyle w:val="Hyperlink"/>
            <w:rFonts w:cs="Times New Roman" w:ascii="Times New Roman" w:hAnsi="Times New Roman"/>
            <w:sz w:val="28"/>
            <w:szCs w:val="28"/>
          </w:rPr>
          <w:t>Krifka et al., 1995</w:t>
        </w:r>
      </w:hyperlink>
      <w:r>
        <w:rPr>
          <w:rFonts w:cs="Times New Roman" w:ascii="Times New Roman" w:hAnsi="Times New Roman"/>
          <w:sz w:val="28"/>
          <w:szCs w:val="28"/>
        </w:rPr>
        <w:t xml:space="preserve">). In economic reporting, a term such as </w:t>
      </w:r>
      <w:r>
        <w:rPr>
          <w:rFonts w:cs="Times New Roman" w:ascii="Times New Roman" w:hAnsi="Times New Roman"/>
          <w:i/>
          <w:sz w:val="28"/>
          <w:szCs w:val="28"/>
        </w:rPr>
        <w:t>market</w:t>
      </w:r>
      <w:r>
        <w:rPr>
          <w:rFonts w:cs="Times New Roman" w:ascii="Times New Roman" w:hAnsi="Times New Roman"/>
          <w:sz w:val="28"/>
          <w:szCs w:val="28"/>
        </w:rPr>
        <w:t xml:space="preserve"> may refer to a specific market reaction in one context and to a broad economic domain in another. Genericity therefore cannot be inferred automatically from article form; it must be coded from context.</w:t>
      </w:r>
    </w:p>
    <w:p>
      <w:pPr>
        <w:pStyle w:val="Normal"/>
        <w:spacing w:lineRule="auto" w:line="240" w:before="0" w:after="0"/>
        <w:ind w:firstLine="567" w:end="0"/>
        <w:jc w:val="both"/>
        <w:rPr/>
      </w:pPr>
      <w:r>
        <w:rPr>
          <w:rFonts w:cs="Times New Roman" w:ascii="Times New Roman" w:hAnsi="Times New Roman"/>
          <w:sz w:val="28"/>
          <w:szCs w:val="28"/>
        </w:rPr>
        <w:t>News discourse is characterized by compact information packaging, institutional reference, and a high density of noun phrases (</w:t>
      </w:r>
      <w:hyperlink w:anchor="Bednarek_Caple_2012">
        <w:r>
          <w:rPr>
            <w:rStyle w:val="Hyperlink"/>
            <w:rFonts w:cs="Times New Roman" w:ascii="Times New Roman" w:hAnsi="Times New Roman"/>
            <w:sz w:val="28"/>
            <w:szCs w:val="28"/>
          </w:rPr>
          <w:t>Bednarek &amp; Caple, 2012</w:t>
        </w:r>
      </w:hyperlink>
      <w:r>
        <w:rPr>
          <w:rFonts w:cs="Times New Roman" w:ascii="Times New Roman" w:hAnsi="Times New Roman"/>
          <w:sz w:val="28"/>
          <w:szCs w:val="28"/>
        </w:rPr>
        <w:t xml:space="preserve">; </w:t>
      </w:r>
      <w:hyperlink w:anchor="Bell_1991">
        <w:r>
          <w:rPr>
            <w:rStyle w:val="Hyperlink"/>
            <w:rFonts w:cs="Times New Roman" w:ascii="Times New Roman" w:hAnsi="Times New Roman"/>
            <w:sz w:val="28"/>
            <w:szCs w:val="28"/>
          </w:rPr>
          <w:t>Bell, 1991</w:t>
        </w:r>
      </w:hyperlink>
      <w:r>
        <w:rPr>
          <w:rFonts w:cs="Times New Roman" w:ascii="Times New Roman" w:hAnsi="Times New Roman"/>
          <w:sz w:val="28"/>
          <w:szCs w:val="28"/>
        </w:rPr>
        <w:t xml:space="preserve">; </w:t>
      </w:r>
      <w:hyperlink w:anchor="Fairclough_1995">
        <w:r>
          <w:rPr>
            <w:rStyle w:val="Hyperlink"/>
            <w:rFonts w:cs="Times New Roman" w:ascii="Times New Roman" w:hAnsi="Times New Roman"/>
            <w:sz w:val="28"/>
            <w:szCs w:val="28"/>
          </w:rPr>
          <w:t>Fairclough, 1995</w:t>
        </w:r>
      </w:hyperlink>
      <w:r>
        <w:rPr>
          <w:rFonts w:cs="Times New Roman" w:ascii="Times New Roman" w:hAnsi="Times New Roman"/>
          <w:sz w:val="28"/>
          <w:szCs w:val="28"/>
        </w:rPr>
        <w:t>). Economic news strengthens these features because it regularly reports indicators, prices, policies, central-bank actions, business outcomes, and market movements. Register studies also show that grammatical patterns vary according to communicative purpose (</w:t>
      </w:r>
      <w:hyperlink w:anchor="Biber_2006">
        <w:r>
          <w:rPr>
            <w:rStyle w:val="Hyperlink"/>
            <w:rFonts w:cs="Times New Roman" w:ascii="Times New Roman" w:hAnsi="Times New Roman"/>
            <w:sz w:val="28"/>
            <w:szCs w:val="28"/>
          </w:rPr>
          <w:t>Biber, 2006</w:t>
        </w:r>
      </w:hyperlink>
      <w:r>
        <w:rPr>
          <w:rFonts w:cs="Times New Roman" w:ascii="Times New Roman" w:hAnsi="Times New Roman"/>
          <w:sz w:val="28"/>
          <w:szCs w:val="28"/>
        </w:rPr>
        <w:t xml:space="preserve">; </w:t>
      </w:r>
      <w:hyperlink w:anchor="Biber_Conrad_2009">
        <w:r>
          <w:rPr>
            <w:rStyle w:val="Hyperlink"/>
            <w:rFonts w:cs="Times New Roman" w:ascii="Times New Roman" w:hAnsi="Times New Roman"/>
            <w:sz w:val="28"/>
            <w:szCs w:val="28"/>
          </w:rPr>
          <w:t>Biber &amp; Conrad, 2009</w:t>
        </w:r>
      </w:hyperlink>
      <w:r>
        <w:rPr>
          <w:rFonts w:cs="Times New Roman" w:ascii="Times New Roman" w:hAnsi="Times New Roman"/>
          <w:sz w:val="28"/>
          <w:szCs w:val="28"/>
        </w:rPr>
        <w:t xml:space="preserve">; </w:t>
      </w:r>
      <w:hyperlink w:anchor="Biber_Conrad_2019">
        <w:r>
          <w:rPr>
            <w:rStyle w:val="Hyperlink"/>
            <w:rFonts w:cs="Times New Roman" w:ascii="Times New Roman" w:hAnsi="Times New Roman"/>
            <w:sz w:val="28"/>
            <w:szCs w:val="28"/>
          </w:rPr>
          <w:t>Biber &amp; Conrad, 2019</w:t>
        </w:r>
      </w:hyperlink>
      <w:r>
        <w:rPr>
          <w:rFonts w:cs="Times New Roman" w:ascii="Times New Roman" w:hAnsi="Times New Roman"/>
          <w:sz w:val="28"/>
          <w:szCs w:val="28"/>
        </w:rPr>
        <w:t>). Economic news can therefore be treated as a specialized register in which article choice supports rapid identification of economic entities and events.</w:t>
      </w:r>
    </w:p>
    <w:p>
      <w:pPr>
        <w:pStyle w:val="Normal"/>
        <w:spacing w:lineRule="auto" w:line="240" w:before="0" w:after="0"/>
        <w:ind w:firstLine="567" w:end="0"/>
        <w:jc w:val="both"/>
        <w:rPr/>
      </w:pPr>
      <w:r>
        <w:rPr>
          <w:rFonts w:cs="Times New Roman" w:ascii="Times New Roman" w:hAnsi="Times New Roman"/>
          <w:sz w:val="28"/>
          <w:szCs w:val="28"/>
        </w:rPr>
        <w:t>Corpus linguistics provides the methodological foundation for this study. Frequency lists, concordance lines, and subcorpus comparisons allow grammatical patterns to be studied empirically rather than impressionistically (</w:t>
      </w:r>
      <w:hyperlink w:anchor="Biber_2021">
        <w:r>
          <w:rPr>
            <w:rStyle w:val="Hyperlink"/>
            <w:rFonts w:cs="Times New Roman" w:ascii="Times New Roman" w:hAnsi="Times New Roman"/>
            <w:sz w:val="28"/>
            <w:szCs w:val="28"/>
          </w:rPr>
          <w:t>Biber et al., 2021</w:t>
        </w:r>
      </w:hyperlink>
      <w:r>
        <w:rPr>
          <w:rFonts w:cs="Times New Roman" w:ascii="Times New Roman" w:hAnsi="Times New Roman"/>
          <w:sz w:val="28"/>
          <w:szCs w:val="28"/>
        </w:rPr>
        <w:t xml:space="preserve">; </w:t>
      </w:r>
      <w:hyperlink w:anchor="Hunston_2022">
        <w:r>
          <w:rPr>
            <w:rStyle w:val="Hyperlink"/>
            <w:rFonts w:cs="Times New Roman" w:ascii="Times New Roman" w:hAnsi="Times New Roman"/>
            <w:sz w:val="28"/>
            <w:szCs w:val="28"/>
          </w:rPr>
          <w:t>Hunston, 2022</w:t>
        </w:r>
      </w:hyperlink>
      <w:r>
        <w:rPr>
          <w:rFonts w:cs="Times New Roman" w:ascii="Times New Roman" w:hAnsi="Times New Roman"/>
          <w:sz w:val="28"/>
          <w:szCs w:val="28"/>
        </w:rPr>
        <w:t xml:space="preserve">; </w:t>
      </w:r>
      <w:hyperlink w:anchor="McEnery_Hardie_2012">
        <w:r>
          <w:rPr>
            <w:rStyle w:val="Hyperlink"/>
            <w:rFonts w:cs="Times New Roman" w:ascii="Times New Roman" w:hAnsi="Times New Roman"/>
            <w:sz w:val="28"/>
            <w:szCs w:val="28"/>
          </w:rPr>
          <w:t>McEnery &amp; Hardie, 2012</w:t>
        </w:r>
      </w:hyperlink>
      <w:r>
        <w:rPr>
          <w:rFonts w:cs="Times New Roman" w:ascii="Times New Roman" w:hAnsi="Times New Roman"/>
          <w:sz w:val="28"/>
          <w:szCs w:val="28"/>
        </w:rPr>
        <w:t xml:space="preserve">; </w:t>
      </w:r>
      <w:hyperlink w:anchor="Sinclair_1991">
        <w:r>
          <w:rPr>
            <w:rStyle w:val="Hyperlink"/>
            <w:rFonts w:cs="Times New Roman" w:ascii="Times New Roman" w:hAnsi="Times New Roman"/>
            <w:sz w:val="28"/>
            <w:szCs w:val="28"/>
          </w:rPr>
          <w:t>Sinclair, 1991</w:t>
        </w:r>
      </w:hyperlink>
      <w:r>
        <w:rPr>
          <w:rFonts w:cs="Times New Roman" w:ascii="Times New Roman" w:hAnsi="Times New Roman"/>
          <w:sz w:val="28"/>
          <w:szCs w:val="28"/>
        </w:rPr>
        <w:t>). Sketch Engine is particularly useful because it supports frequency searches, concordance display, CQL queries, and random sampling, while AntConc provides an additional platform for checking corpus patterns (</w:t>
      </w:r>
      <w:hyperlink w:anchor="Anthony_2020">
        <w:r>
          <w:rPr>
            <w:rStyle w:val="Hyperlink"/>
            <w:rFonts w:cs="Times New Roman" w:ascii="Times New Roman" w:hAnsi="Times New Roman"/>
            <w:sz w:val="28"/>
            <w:szCs w:val="28"/>
          </w:rPr>
          <w:t>Anthony, 2020</w:t>
        </w:r>
      </w:hyperlink>
      <w:r>
        <w:rPr>
          <w:rFonts w:cs="Times New Roman" w:ascii="Times New Roman" w:hAnsi="Times New Roman"/>
          <w:sz w:val="28"/>
          <w:szCs w:val="28"/>
        </w:rPr>
        <w:t xml:space="preserve">; </w:t>
      </w:r>
      <w:hyperlink w:anchor="Kilgarriff_2014">
        <w:r>
          <w:rPr>
            <w:rStyle w:val="Hyperlink"/>
            <w:rFonts w:cs="Times New Roman" w:ascii="Times New Roman" w:hAnsi="Times New Roman"/>
            <w:sz w:val="28"/>
            <w:szCs w:val="28"/>
          </w:rPr>
          <w:t>Kilgarriff et al., 2014</w:t>
        </w:r>
      </w:hyperlink>
      <w:r>
        <w:rPr>
          <w:rFonts w:cs="Times New Roman" w:ascii="Times New Roman" w:hAnsi="Times New Roman"/>
          <w:sz w:val="28"/>
          <w:szCs w:val="28"/>
        </w:rPr>
        <w:t>).</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2.1 Previous Studies</w:t>
      </w:r>
    </w:p>
    <w:p>
      <w:pPr>
        <w:pStyle w:val="Normal"/>
        <w:spacing w:lineRule="auto" w:line="240" w:before="0" w:after="0"/>
        <w:ind w:firstLine="567" w:end="0"/>
        <w:jc w:val="both"/>
        <w:rPr>
          <w:rFonts w:ascii="Times New Roman" w:hAnsi="Times New Roman" w:cs="Times New Roman"/>
          <w:sz w:val="28"/>
          <w:szCs w:val="28"/>
        </w:rPr>
      </w:pPr>
      <w:r>
        <w:rPr>
          <w:rFonts w:cs="Times New Roman" w:ascii="Times New Roman" w:hAnsi="Times New Roman"/>
          <w:sz w:val="28"/>
          <w:szCs w:val="28"/>
        </w:rPr>
        <w:t>Previous research has examined article use, news discourse, economic language, corpus-based grammar, and semantic reference from different perspectives. These studies provide an important background for the present research, although none combines article-frequency analysis with semantic coding of definiteness, specificity, and genericity in a balanced corpus of contemporary English economic news.</w:t>
      </w:r>
    </w:p>
    <w:p>
      <w:pPr>
        <w:pStyle w:val="Normal"/>
        <w:spacing w:lineRule="auto" w:line="240" w:before="0" w:after="0"/>
        <w:ind w:firstLine="567" w:end="0"/>
        <w:jc w:val="both"/>
        <w:rPr/>
      </w:pPr>
      <w:r>
        <w:rPr>
          <w:rFonts w:cs="Times New Roman" w:ascii="Times New Roman" w:hAnsi="Times New Roman"/>
          <w:sz w:val="28"/>
          <w:szCs w:val="28"/>
        </w:rPr>
        <w:t>Delice and Pinto (2025) investigated the relationship between financial-news language and economic analysis. Their study used textual data and news-content analysis to examine how information from news can support economic interpretation. The study is relevant because it shows that economic-news language is not simply descriptive; it can contribute to how economic conditions are understood. However, its focus is mainly lexical, textual, and analytical rather than grammatical. It does not examine article marking or how noun phrases are organized semantically.</w:t>
      </w:r>
    </w:p>
    <w:p>
      <w:pPr>
        <w:pStyle w:val="Normal"/>
        <w:spacing w:lineRule="auto" w:line="240" w:before="0" w:after="0"/>
        <w:ind w:firstLine="567" w:end="0"/>
        <w:jc w:val="both"/>
        <w:rPr/>
      </w:pPr>
      <w:r>
        <w:rPr>
          <w:rFonts w:cs="Times New Roman" w:ascii="Times New Roman" w:hAnsi="Times New Roman"/>
          <w:sz w:val="28"/>
          <w:szCs w:val="28"/>
        </w:rPr>
        <w:t>Valdeón (2025) reviewed twenty-five years of journalistic translation research and discussed how global news production is shaped by methods, topics, and stylistic pressures. This is useful for the present study because news writers frequently make compact grammatical choices to present information quickly. However, Valdeón’s work is mainly concerned with journalistic translation and global news research. It does not provide a quantitative account of definite and indefinite article frequencies, nor does it code article-marked noun phrases for reference categories.</w:t>
      </w:r>
    </w:p>
    <w:p>
      <w:pPr>
        <w:pStyle w:val="Normal"/>
        <w:spacing w:lineRule="auto" w:line="240" w:before="0" w:after="0"/>
        <w:ind w:firstLine="567" w:end="0"/>
        <w:jc w:val="both"/>
        <w:rPr/>
      </w:pPr>
      <w:r>
        <w:rPr>
          <w:rFonts w:cs="Times New Roman" w:ascii="Times New Roman" w:hAnsi="Times New Roman"/>
          <w:sz w:val="28"/>
          <w:szCs w:val="28"/>
        </w:rPr>
        <w:t>Lei (2025) conducted a corpus-based critical discourse analysis of post-pandemic news reports. Using frequency lists and corpus tools, the study identified dominant lexical patterns and themes in news discourse. The findings show how corpus methods can reveal repeated patterns in large news datasets. This is methodologically relevant to the present research because it supports the use of corpus tools for studying news language. Nevertheless, Lei’s study focuses on content words and discourse themes rather than grammatical reference. It identifies common topics in news, but not how article-marked noun phrases structure reference.</w:t>
      </w:r>
    </w:p>
    <w:p>
      <w:pPr>
        <w:pStyle w:val="Normal"/>
        <w:spacing w:lineRule="auto" w:line="240" w:before="0" w:after="0"/>
        <w:ind w:firstLine="567" w:end="0"/>
        <w:jc w:val="both"/>
        <w:rPr/>
      </w:pPr>
      <w:r>
        <w:rPr>
          <w:rFonts w:cs="Times New Roman" w:ascii="Times New Roman" w:hAnsi="Times New Roman"/>
          <w:sz w:val="28"/>
          <w:szCs w:val="28"/>
        </w:rPr>
        <w:t>Salih et al. (2024) examined noun post-modifiers in political news through a corpus-based quantitative approach. Their study found that post-modifying structures, especially prepositional phrases, are common in news noun phrases. This is relevant because it confirms that noun-phrase structure is a key feature of news discourse. However, their analysis focuses on elements that follow the noun, while the present study focuses on articles, which occur before the noun and help determine the reference value of the noun phrase. The current study therefore extends noun-phrase research by examining the determiner position rather than post-modification alone.</w:t>
      </w:r>
    </w:p>
    <w:p>
      <w:pPr>
        <w:pStyle w:val="Normal"/>
        <w:spacing w:lineRule="auto" w:line="240" w:before="0" w:after="0"/>
        <w:ind w:firstLine="567" w:end="0"/>
        <w:jc w:val="both"/>
        <w:rPr/>
      </w:pPr>
      <w:r>
        <w:rPr>
          <w:rFonts w:cs="Times New Roman" w:ascii="Times New Roman" w:hAnsi="Times New Roman"/>
          <w:sz w:val="28"/>
          <w:szCs w:val="28"/>
        </w:rPr>
        <w:t>Derkach and Alexopoulou (2024) studied definite and indefinite article accuracy in learner English. Their work is particularly important because it highlights the role of specificity in article choice. They show that article use cannot be explained only through definiteness; specificity also affects whether a speaker or writer has a particular referent in mind. This supports the coding framework of the present study, which separates definiteness from specificity. However, their study is based on learner English and article accuracy, while the present research analyzes professional journalistic language. In economic news, article choices are treated as discourse strategies, not learner errors.</w:t>
      </w:r>
    </w:p>
    <w:p>
      <w:pPr>
        <w:pStyle w:val="Normal"/>
        <w:spacing w:lineRule="auto" w:line="240" w:before="0" w:after="0"/>
        <w:ind w:firstLine="567" w:end="0"/>
        <w:jc w:val="both"/>
        <w:rPr>
          <w:rFonts w:ascii="Times New Roman" w:hAnsi="Times New Roman" w:cs="Times New Roman"/>
          <w:color w:val="000000"/>
          <w:sz w:val="28"/>
          <w:szCs w:val="28"/>
        </w:rPr>
      </w:pPr>
      <w:r>
        <w:rPr>
          <w:rFonts w:cs="Times New Roman" w:ascii="Times New Roman" w:hAnsi="Times New Roman"/>
          <w:sz w:val="28"/>
          <w:szCs w:val="28"/>
        </w:rPr>
        <w:t xml:space="preserve">Akbarova (2024) examined the discourse characteristics of economic texts, emphasizing the density and nominal nature of economic language. The study shows that economic discourse frequently uses nominalization and abstract nouns such as </w:t>
      </w:r>
      <w:r>
        <w:rPr>
          <w:rFonts w:cs="Times New Roman" w:ascii="Times New Roman" w:hAnsi="Times New Roman"/>
          <w:i/>
          <w:sz w:val="28"/>
          <w:szCs w:val="28"/>
        </w:rPr>
        <w:t>growth</w:t>
      </w:r>
      <w:r>
        <w:rPr>
          <w:rFonts w:cs="Times New Roman" w:ascii="Times New Roman" w:hAnsi="Times New Roman"/>
          <w:sz w:val="28"/>
          <w:szCs w:val="28"/>
        </w:rPr>
        <w:t xml:space="preserve">, </w:t>
      </w:r>
      <w:r>
        <w:rPr>
          <w:rFonts w:cs="Times New Roman" w:ascii="Times New Roman" w:hAnsi="Times New Roman"/>
          <w:i/>
          <w:sz w:val="28"/>
          <w:szCs w:val="28"/>
        </w:rPr>
        <w:t>inflation</w:t>
      </w:r>
      <w:r>
        <w:rPr>
          <w:rFonts w:cs="Times New Roman" w:ascii="Times New Roman" w:hAnsi="Times New Roman"/>
          <w:sz w:val="28"/>
          <w:szCs w:val="28"/>
        </w:rPr>
        <w:t xml:space="preserve">, </w:t>
      </w:r>
      <w:r>
        <w:rPr>
          <w:rFonts w:cs="Times New Roman" w:ascii="Times New Roman" w:hAnsi="Times New Roman"/>
          <w:i/>
          <w:sz w:val="28"/>
          <w:szCs w:val="28"/>
        </w:rPr>
        <w:t>decline</w:t>
      </w:r>
      <w:r>
        <w:rPr>
          <w:rFonts w:cs="Times New Roman" w:ascii="Times New Roman" w:hAnsi="Times New Roman"/>
          <w:sz w:val="28"/>
          <w:szCs w:val="28"/>
        </w:rPr>
        <w:t xml:space="preserve">, and </w:t>
      </w:r>
      <w:r>
        <w:rPr>
          <w:rFonts w:cs="Times New Roman" w:ascii="Times New Roman" w:hAnsi="Times New Roman"/>
          <w:i/>
          <w:sz w:val="28"/>
          <w:szCs w:val="28"/>
        </w:rPr>
        <w:t>recovery</w:t>
      </w:r>
      <w:r>
        <w:rPr>
          <w:rFonts w:cs="Times New Roman" w:ascii="Times New Roman" w:hAnsi="Times New Roman"/>
          <w:sz w:val="28"/>
          <w:szCs w:val="28"/>
        </w:rPr>
        <w:t>. This is directly relevant because articles often precede such nouns and influence whether they are presented as identifiable, specific, abstract, or context-bound. However, Akbarova’s study does not focus specifically on the article system. It explains the nominal nature of economic discourse, but does not examine how definite and indefinite articles contribute to reference.</w:t>
      </w:r>
    </w:p>
    <w:p>
      <w:pPr>
        <w:pStyle w:val="Normal"/>
        <w:spacing w:lineRule="auto" w:line="240" w:before="0" w:after="0"/>
        <w:ind w:firstLine="567" w:end="0"/>
        <w:jc w:val="both"/>
        <w:rPr>
          <w:rFonts w:ascii="Times New Roman" w:hAnsi="Times New Roman" w:cs="Times New Roman"/>
          <w:color w:val="000000"/>
          <w:sz w:val="28"/>
          <w:szCs w:val="28"/>
        </w:rPr>
      </w:pPr>
      <w:r>
        <w:rPr>
          <w:rFonts w:cs="Times New Roman" w:ascii="Times New Roman" w:hAnsi="Times New Roman"/>
          <w:sz w:val="28"/>
          <w:szCs w:val="28"/>
        </w:rPr>
        <w:t>Clancy and Vaughan (2023) demonstrate the value of corpus linguistic methods in the analysis of economic news texts. Their work shows how concordance lines, keywords, and repeated patterns can reveal meanings that are difficult to identify through manual reading alone. This supports the use of Sketch Engine and corpus-based analysis in the present study. However, their emphasis is broader discourse interpretation rather than the semantic classification of article-marked noun phrases. The present study builds on this methodological direction by combining corpus extraction with semantic reference coding.</w:t>
      </w:r>
    </w:p>
    <w:p>
      <w:pPr>
        <w:pStyle w:val="Normal"/>
        <w:spacing w:lineRule="auto" w:line="240" w:before="0" w:after="0"/>
        <w:ind w:firstLine="567" w:end="0"/>
        <w:jc w:val="both"/>
        <w:rPr>
          <w:rFonts w:ascii="Times New Roman" w:hAnsi="Times New Roman" w:cs="Times New Roman"/>
          <w:color w:val="000000"/>
          <w:sz w:val="28"/>
          <w:szCs w:val="28"/>
        </w:rPr>
      </w:pPr>
      <w:r>
        <w:rPr>
          <w:rFonts w:cs="Times New Roman" w:ascii="Times New Roman" w:hAnsi="Times New Roman"/>
          <w:sz w:val="28"/>
          <w:szCs w:val="28"/>
        </w:rPr>
        <w:t>Li and Gao (2023) examined semantic and sentimental features of economic news texts. Their study shows that economic news may vary in its use of concrete and abstract meanings. This distinction is relevant because specificity and genericity depend partly on whether a noun phrase refers to a concrete event, institution, indicator, or a more general economic concept. However, Li and Gao do not directly examine article forms. Their study helps explain the semantic environment of economic news, while the present study examines how articles signal reference within that environment.</w:t>
      </w:r>
    </w:p>
    <w:p>
      <w:pPr>
        <w:pStyle w:val="Normal"/>
        <w:spacing w:lineRule="auto" w:line="240" w:before="0" w:after="0"/>
        <w:ind w:firstLine="567" w:end="0"/>
        <w:jc w:val="both"/>
        <w:rPr>
          <w:rFonts w:ascii="Times New Roman" w:hAnsi="Times New Roman" w:cs="Times New Roman"/>
          <w:color w:val="000000"/>
          <w:sz w:val="28"/>
          <w:szCs w:val="28"/>
        </w:rPr>
      </w:pPr>
      <w:r>
        <w:rPr>
          <w:rFonts w:cs="Times New Roman" w:ascii="Times New Roman" w:hAnsi="Times New Roman"/>
          <w:sz w:val="28"/>
          <w:szCs w:val="28"/>
        </w:rPr>
        <w:t>Park (2023) analyzed English article occurrence patterns with attention to genericity. Because genericity is one of the central semantic categories in article interpretation, the study is useful for the present research. Park’s findings support the view that article use is related to whether a noun phrase refers to a class, kind, or broad concept. However, Park’s research does not focus on contemporary professional economic news from multiple outlets. The present study therefore applies genericity coding to a specialized economic-news corpus and compares generic and non-generic reference across definite and indefinite article samples.</w:t>
      </w:r>
    </w:p>
    <w:p>
      <w:pPr>
        <w:pStyle w:val="Normal"/>
        <w:spacing w:lineRule="auto" w:line="240" w:before="0" w:after="0"/>
        <w:ind w:firstLine="567" w:end="0"/>
        <w:jc w:val="both"/>
        <w:rPr>
          <w:rFonts w:ascii="Times New Roman" w:hAnsi="Times New Roman" w:cs="Times New Roman"/>
          <w:color w:val="000000"/>
          <w:sz w:val="28"/>
          <w:szCs w:val="28"/>
        </w:rPr>
      </w:pPr>
      <w:r>
        <w:rPr>
          <w:rFonts w:cs="Times New Roman" w:ascii="Times New Roman" w:hAnsi="Times New Roman"/>
          <w:sz w:val="28"/>
          <w:szCs w:val="28"/>
        </w:rPr>
        <w:t xml:space="preserve">Poesio and Vieira (1998) provided one of the most relevant earlier studies by investigating definite descriptions in Wall Street Journal data. Their study showed that definite descriptions do not always refer back to previously mentioned information; they may introduce new referents when readers can identify them through shared knowledge or bridging inference. This is highly relevant to economic news, where expressions such as </w:t>
      </w:r>
      <w:r>
        <w:rPr>
          <w:rFonts w:cs="Times New Roman" w:ascii="Times New Roman" w:hAnsi="Times New Roman"/>
          <w:i/>
          <w:sz w:val="28"/>
          <w:szCs w:val="28"/>
        </w:rPr>
        <w:t>the economy</w:t>
      </w:r>
      <w:r>
        <w:rPr>
          <w:rFonts w:cs="Times New Roman" w:ascii="Times New Roman" w:hAnsi="Times New Roman"/>
          <w:sz w:val="28"/>
          <w:szCs w:val="28"/>
        </w:rPr>
        <w:t xml:space="preserve">, </w:t>
      </w:r>
      <w:r>
        <w:rPr>
          <w:rFonts w:cs="Times New Roman" w:ascii="Times New Roman" w:hAnsi="Times New Roman"/>
          <w:i/>
          <w:sz w:val="28"/>
          <w:szCs w:val="28"/>
        </w:rPr>
        <w:t>the market</w:t>
      </w:r>
      <w:r>
        <w:rPr>
          <w:rFonts w:cs="Times New Roman" w:ascii="Times New Roman" w:hAnsi="Times New Roman"/>
          <w:sz w:val="28"/>
          <w:szCs w:val="28"/>
        </w:rPr>
        <w:t xml:space="preserve">, and </w:t>
      </w:r>
      <w:r>
        <w:rPr>
          <w:rFonts w:cs="Times New Roman" w:ascii="Times New Roman" w:hAnsi="Times New Roman"/>
          <w:i/>
          <w:sz w:val="28"/>
          <w:szCs w:val="28"/>
        </w:rPr>
        <w:t>the Federal Reserve</w:t>
      </w:r>
      <w:r>
        <w:rPr>
          <w:rFonts w:cs="Times New Roman" w:ascii="Times New Roman" w:hAnsi="Times New Roman"/>
          <w:sz w:val="28"/>
          <w:szCs w:val="28"/>
        </w:rPr>
        <w:t xml:space="preserve"> may be treated as identifiable even without prior mention. However, their study focused mainly on definite descriptions and earlier Wall Street Journal data. The present study extends this line of research by analyzing both definite and indefinite articles across ten contemporary economic news outlets.</w:t>
      </w:r>
    </w:p>
    <w:p>
      <w:pPr>
        <w:pStyle w:val="Normal"/>
        <w:spacing w:lineRule="auto" w:line="240" w:before="0" w:after="0"/>
        <w:ind w:firstLine="567" w:end="0"/>
        <w:jc w:val="both"/>
        <w:rPr>
          <w:rFonts w:ascii="Times New Roman" w:hAnsi="Times New Roman" w:cs="Times New Roman"/>
          <w:color w:val="000000"/>
          <w:sz w:val="28"/>
          <w:szCs w:val="28"/>
        </w:rPr>
      </w:pPr>
      <w:r>
        <w:rPr>
          <w:rFonts w:cs="Times New Roman" w:ascii="Times New Roman" w:hAnsi="Times New Roman"/>
          <w:sz w:val="28"/>
          <w:szCs w:val="28"/>
        </w:rPr>
        <w:t>Taken together, these studies show that previous research has examined sentiment and news analytics, news style, corpus-based discourse patterns, noun-phrase structure, learner article use, economic discourse, and definite descriptions (</w:t>
      </w:r>
      <w:hyperlink w:anchor="Akbarova_2024">
        <w:r>
          <w:rPr>
            <w:rStyle w:val="Hyperlink"/>
            <w:rFonts w:cs="Times New Roman" w:ascii="Times New Roman" w:hAnsi="Times New Roman"/>
            <w:sz w:val="28"/>
            <w:szCs w:val="28"/>
          </w:rPr>
          <w:t>Akbarova, 2024</w:t>
        </w:r>
      </w:hyperlink>
      <w:r>
        <w:rPr>
          <w:rFonts w:cs="Times New Roman" w:ascii="Times New Roman" w:hAnsi="Times New Roman"/>
          <w:sz w:val="28"/>
          <w:szCs w:val="28"/>
        </w:rPr>
        <w:t xml:space="preserve">; </w:t>
      </w:r>
      <w:hyperlink w:anchor="Clancy_Vaughan_2023">
        <w:r>
          <w:rPr>
            <w:rStyle w:val="Hyperlink"/>
            <w:rFonts w:cs="Times New Roman" w:ascii="Times New Roman" w:hAnsi="Times New Roman"/>
            <w:sz w:val="28"/>
            <w:szCs w:val="28"/>
          </w:rPr>
          <w:t>Clancy &amp; Vaughan, 2023</w:t>
        </w:r>
      </w:hyperlink>
      <w:r>
        <w:rPr>
          <w:rFonts w:cs="Times New Roman" w:ascii="Times New Roman" w:hAnsi="Times New Roman"/>
          <w:sz w:val="28"/>
          <w:szCs w:val="28"/>
        </w:rPr>
        <w:t xml:space="preserve">; </w:t>
      </w:r>
      <w:hyperlink w:anchor="Delice_Pinto_2025">
        <w:r>
          <w:rPr>
            <w:rStyle w:val="Hyperlink"/>
            <w:rFonts w:cs="Times New Roman" w:ascii="Times New Roman" w:hAnsi="Times New Roman"/>
            <w:sz w:val="28"/>
            <w:szCs w:val="28"/>
          </w:rPr>
          <w:t>Delice &amp; Pinto, 2025</w:t>
        </w:r>
      </w:hyperlink>
      <w:r>
        <w:rPr>
          <w:rFonts w:cs="Times New Roman" w:ascii="Times New Roman" w:hAnsi="Times New Roman"/>
          <w:sz w:val="28"/>
          <w:szCs w:val="28"/>
        </w:rPr>
        <w:t xml:space="preserve">; </w:t>
      </w:r>
      <w:hyperlink w:anchor="Derkach_Alexopoulou_2024">
        <w:r>
          <w:rPr>
            <w:rStyle w:val="Hyperlink"/>
            <w:rFonts w:cs="Times New Roman" w:ascii="Times New Roman" w:hAnsi="Times New Roman"/>
            <w:sz w:val="28"/>
            <w:szCs w:val="28"/>
          </w:rPr>
          <w:t>Derkach &amp; Alexopoulou, 2024</w:t>
        </w:r>
      </w:hyperlink>
      <w:r>
        <w:rPr>
          <w:rFonts w:cs="Times New Roman" w:ascii="Times New Roman" w:hAnsi="Times New Roman"/>
          <w:sz w:val="28"/>
          <w:szCs w:val="28"/>
        </w:rPr>
        <w:t xml:space="preserve">; </w:t>
      </w:r>
      <w:hyperlink w:anchor="Lei_2025">
        <w:r>
          <w:rPr>
            <w:rStyle w:val="Hyperlink"/>
            <w:rFonts w:cs="Times New Roman" w:ascii="Times New Roman" w:hAnsi="Times New Roman"/>
            <w:sz w:val="28"/>
            <w:szCs w:val="28"/>
          </w:rPr>
          <w:t>Lei, 2025</w:t>
        </w:r>
      </w:hyperlink>
      <w:r>
        <w:rPr>
          <w:rFonts w:cs="Times New Roman" w:ascii="Times New Roman" w:hAnsi="Times New Roman"/>
          <w:sz w:val="28"/>
          <w:szCs w:val="28"/>
        </w:rPr>
        <w:t xml:space="preserve">; </w:t>
      </w:r>
      <w:hyperlink w:anchor="Li_Gao_2023">
        <w:r>
          <w:rPr>
            <w:rStyle w:val="Hyperlink"/>
            <w:rFonts w:cs="Times New Roman" w:ascii="Times New Roman" w:hAnsi="Times New Roman"/>
            <w:sz w:val="28"/>
            <w:szCs w:val="28"/>
          </w:rPr>
          <w:t>Li &amp; Gao, 2023</w:t>
        </w:r>
      </w:hyperlink>
      <w:r>
        <w:rPr>
          <w:rFonts w:cs="Times New Roman" w:ascii="Times New Roman" w:hAnsi="Times New Roman"/>
          <w:sz w:val="28"/>
          <w:szCs w:val="28"/>
        </w:rPr>
        <w:t xml:space="preserve">; </w:t>
      </w:r>
      <w:hyperlink w:anchor="Park_2023">
        <w:r>
          <w:rPr>
            <w:rStyle w:val="Hyperlink"/>
            <w:rFonts w:cs="Times New Roman" w:ascii="Times New Roman" w:hAnsi="Times New Roman"/>
            <w:sz w:val="28"/>
            <w:szCs w:val="28"/>
          </w:rPr>
          <w:t>Park, 2023</w:t>
        </w:r>
      </w:hyperlink>
      <w:r>
        <w:rPr>
          <w:rFonts w:cs="Times New Roman" w:ascii="Times New Roman" w:hAnsi="Times New Roman"/>
          <w:sz w:val="28"/>
          <w:szCs w:val="28"/>
        </w:rPr>
        <w:t xml:space="preserve">; </w:t>
      </w:r>
      <w:hyperlink w:anchor="Poesio_Vieira_1998">
        <w:r>
          <w:rPr>
            <w:rStyle w:val="Hyperlink"/>
            <w:rFonts w:cs="Times New Roman" w:ascii="Times New Roman" w:hAnsi="Times New Roman"/>
            <w:sz w:val="28"/>
            <w:szCs w:val="28"/>
          </w:rPr>
          <w:t>Poesio &amp; Vieira, 1998</w:t>
        </w:r>
      </w:hyperlink>
      <w:r>
        <w:rPr>
          <w:rFonts w:cs="Times New Roman" w:ascii="Times New Roman" w:hAnsi="Times New Roman"/>
          <w:sz w:val="28"/>
          <w:szCs w:val="28"/>
        </w:rPr>
        <w:t xml:space="preserve">; </w:t>
      </w:r>
      <w:hyperlink w:anchor="Salih_2024">
        <w:r>
          <w:rPr>
            <w:rStyle w:val="Hyperlink"/>
            <w:rFonts w:cs="Times New Roman" w:ascii="Times New Roman" w:hAnsi="Times New Roman"/>
            <w:sz w:val="28"/>
            <w:szCs w:val="28"/>
          </w:rPr>
          <w:t>Salih et al., 2024</w:t>
        </w:r>
      </w:hyperlink>
      <w:r>
        <w:rPr>
          <w:rFonts w:cs="Times New Roman" w:ascii="Times New Roman" w:hAnsi="Times New Roman"/>
          <w:sz w:val="28"/>
          <w:szCs w:val="28"/>
        </w:rPr>
        <w:t xml:space="preserve">; </w:t>
      </w:r>
      <w:hyperlink w:anchor="Valdeon_2025">
        <w:r>
          <w:rPr>
            <w:rStyle w:val="Hyperlink"/>
            <w:rFonts w:cs="Times New Roman" w:ascii="Times New Roman" w:hAnsi="Times New Roman"/>
            <w:sz w:val="28"/>
            <w:szCs w:val="28"/>
          </w:rPr>
          <w:t>Valdeón, 2025</w:t>
        </w:r>
      </w:hyperlink>
      <w:r>
        <w:rPr>
          <w:rFonts w:cs="Times New Roman" w:ascii="Times New Roman" w:hAnsi="Times New Roman"/>
          <w:sz w:val="28"/>
          <w:szCs w:val="28"/>
        </w:rPr>
        <w:t>). However, there remains a clear gap in research on how definite and indefinite articles mark semantic reference categories in contemporary English economic news. The present study addresses this gap by combining quantitative frequency analysis with semantic coding of definiteness, specificity, and genericity in a balanced, specialized, synchronic corpus of ten major economic news outlets.</w:t>
      </w:r>
    </w:p>
    <w:p>
      <w:pPr>
        <w:pStyle w:val="Heading1"/>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3. Methodology</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3.1 Research Design and Corpus Description</w:t>
      </w:r>
    </w:p>
    <w:p>
      <w:pPr>
        <w:pStyle w:val="Normal"/>
        <w:spacing w:lineRule="auto" w:line="240" w:before="0" w:after="0"/>
        <w:ind w:firstLine="567" w:end="0"/>
        <w:jc w:val="both"/>
        <w:rPr/>
      </w:pPr>
      <w:r>
        <w:rPr>
          <w:rFonts w:cs="Times New Roman" w:ascii="Times New Roman" w:hAnsi="Times New Roman"/>
          <w:sz w:val="28"/>
          <w:szCs w:val="28"/>
        </w:rPr>
        <w:t xml:space="preserve">The study uses a mixed-methods corpus-based design that combines quantitative frequency analysis with qualitative semantic reference coding. The quantitative component counts the frequency of </w:t>
      </w:r>
      <w:r>
        <w:rPr>
          <w:rFonts w:cs="Times New Roman" w:ascii="Times New Roman" w:hAnsi="Times New Roman"/>
          <w:i/>
          <w:sz w:val="28"/>
          <w:szCs w:val="28"/>
        </w:rPr>
        <w:t>the</w:t>
      </w:r>
      <w:r>
        <w:rPr>
          <w:rFonts w:cs="Times New Roman" w:ascii="Times New Roman" w:hAnsi="Times New Roman"/>
          <w:sz w:val="28"/>
          <w:szCs w:val="28"/>
        </w:rPr>
        <w:t xml:space="preserve">, </w:t>
      </w:r>
      <w:r>
        <w:rPr>
          <w:rFonts w:cs="Times New Roman" w:ascii="Times New Roman" w:hAnsi="Times New Roman"/>
          <w:i/>
          <w:sz w:val="28"/>
          <w:szCs w:val="28"/>
        </w:rPr>
        <w:t>a</w:t>
      </w:r>
      <w:r>
        <w:rPr>
          <w:rFonts w:cs="Times New Roman" w:ascii="Times New Roman" w:hAnsi="Times New Roman"/>
          <w:sz w:val="28"/>
          <w:szCs w:val="28"/>
        </w:rPr>
        <w:t xml:space="preserve">, </w:t>
      </w:r>
      <w:r>
        <w:rPr>
          <w:rFonts w:cs="Times New Roman" w:ascii="Times New Roman" w:hAnsi="Times New Roman"/>
          <w:i/>
          <w:sz w:val="28"/>
          <w:szCs w:val="28"/>
        </w:rPr>
        <w:t>an</w:t>
      </w:r>
      <w:r>
        <w:rPr>
          <w:rFonts w:cs="Times New Roman" w:ascii="Times New Roman" w:hAnsi="Times New Roman"/>
          <w:sz w:val="28"/>
          <w:szCs w:val="28"/>
        </w:rPr>
        <w:t xml:space="preserve">, and combined </w:t>
      </w:r>
      <w:r>
        <w:rPr>
          <w:rFonts w:cs="Times New Roman" w:ascii="Times New Roman" w:hAnsi="Times New Roman"/>
          <w:i/>
          <w:sz w:val="28"/>
          <w:szCs w:val="28"/>
        </w:rPr>
        <w:t>a/an</w:t>
      </w:r>
      <w:r>
        <w:rPr>
          <w:rFonts w:cs="Times New Roman" w:ascii="Times New Roman" w:hAnsi="Times New Roman"/>
          <w:sz w:val="28"/>
          <w:szCs w:val="28"/>
        </w:rPr>
        <w:t xml:space="preserve"> in the full corpus and in each outlet subcorpus. The qualitative component codes 2,000 randomly selected article-marked noun phrases for definiteness, specificity, and genericity. This design is suitable because article use is both frequent and meaning-sensitive: counting reveals distributional patterns, while semantic coding clarifies the reference values expressed in context.</w:t>
      </w:r>
    </w:p>
    <w:p>
      <w:pPr>
        <w:pStyle w:val="Normal"/>
        <w:spacing w:lineRule="auto" w:line="240" w:before="0" w:after="0"/>
        <w:ind w:firstLine="567" w:end="0"/>
        <w:jc w:val="both"/>
        <w:rPr>
          <w:rFonts w:ascii="Times New Roman" w:hAnsi="Times New Roman" w:cs="Times New Roman"/>
          <w:color w:val="ED7D31"/>
          <w:sz w:val="28"/>
          <w:szCs w:val="28"/>
        </w:rPr>
      </w:pPr>
      <w:r>
        <w:rPr>
          <w:rFonts w:cs="Times New Roman" w:ascii="Times New Roman" w:hAnsi="Times New Roman"/>
          <w:sz w:val="28"/>
          <w:szCs w:val="28"/>
        </w:rPr>
        <w:t>The English Economic News Corpus 2026 (EENC-2026) is a manually compiled, balanced, specialized, monolingual, synchronic corpus of written English economic news. By design, it contains 1,000,000 running words, with 100,000 words collected from each of ten outlets. After processing in Sketch Engine, the corpus contained 1,174,893 tokens. The difference between the word total and token total reflects automatic tokenization, which counts punctuation, contractions, digits, and other textual units differently from manual word counting.</w:t>
      </w:r>
    </w:p>
    <w:p>
      <w:pPr>
        <w:pStyle w:val="Normal"/>
        <w:keepNext w:val="true"/>
        <w:spacing w:lineRule="auto" w:line="240" w:before="280" w:after="160"/>
        <w:rPr/>
      </w:pPr>
      <w:r>
        <w:rPr>
          <w:rFonts w:cs="Times New Roman" w:ascii="Times New Roman" w:hAnsi="Times New Roman"/>
          <w:b/>
          <w:sz w:val="28"/>
          <w:szCs w:val="28"/>
        </w:rPr>
        <w:t>Table 1:</w:t>
      </w:r>
      <w:r>
        <w:rPr/>
        <w:t xml:space="preserve"> Corpus Composition by Outlet</w:t>
      </w:r>
    </w:p>
    <w:tbl>
      <w:tblPr>
        <w:tblW w:w="9222" w:type="dxa"/>
        <w:jc w:val="center"/>
        <w:tblInd w:w="0" w:type="dxa"/>
        <w:tblLayout w:type="fixed"/>
        <w:tblCellMar>
          <w:top w:w="45" w:type="dxa"/>
          <w:start w:w="50" w:type="dxa"/>
          <w:bottom w:w="45" w:type="dxa"/>
          <w:end w:w="50" w:type="dxa"/>
        </w:tblCellMar>
      </w:tblPr>
      <w:tblGrid>
        <w:gridCol w:w="4625"/>
        <w:gridCol w:w="4597"/>
      </w:tblGrid>
      <w:tr>
        <w:trPr>
          <w:tblHeader w:val="true"/>
        </w:trPr>
        <w:tc>
          <w:tcPr>
            <w:tcW w:w="4625"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Outlet</w:t>
            </w:r>
          </w:p>
        </w:tc>
        <w:tc>
          <w:tcPr>
            <w:tcW w:w="4597"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Sketch Engine tokens</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AP</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117,779</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BBC</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117,478</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CNN</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118,407</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Reuters</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118,858</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The Guardian</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117,662</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Bloomberg</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116,116</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CNBC</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119,102</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The Wall Street Journal</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116,598</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The New York Times</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115,795</w:t>
            </w:r>
          </w:p>
        </w:tc>
      </w:tr>
      <w:tr>
        <w:trPr/>
        <w:tc>
          <w:tcPr>
            <w:tcW w:w="46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The Telegraph</w:t>
            </w:r>
          </w:p>
        </w:tc>
        <w:tc>
          <w:tcPr>
            <w:tcW w:w="45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117,098</w:t>
            </w:r>
          </w:p>
        </w:tc>
      </w:tr>
    </w:tbl>
    <w:p>
      <w:pPr>
        <w:pStyle w:val="Normal"/>
        <w:spacing w:lineRule="auto" w:line="240" w:before="0" w:after="0"/>
        <w:rPr/>
      </w:pPr>
      <w:r>
        <w:rPr>
          <w:rFonts w:cs="Times New Roman" w:ascii="Times New Roman" w:hAnsi="Times New Roman"/>
          <w:i/>
          <w:iCs/>
          <w:sz w:val="24"/>
          <w:szCs w:val="24"/>
        </w:rPr>
        <w:t>Note</w:t>
      </w:r>
      <w:r>
        <w:rPr>
          <w:rFonts w:cs="Times New Roman" w:ascii="Times New Roman" w:hAnsi="Times New Roman"/>
          <w:sz w:val="24"/>
          <w:szCs w:val="24"/>
        </w:rPr>
        <w:t>. Each outlet contributed 100,000 words during manual corpus construction; token counts reflect Sketch Engine tokenization after processing.</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3.2 Corpus Balancing and Outlet-Based Word Control</w:t>
      </w:r>
    </w:p>
    <w:p>
      <w:pPr>
        <w:pStyle w:val="Normal"/>
        <w:spacing w:lineRule="auto" w:line="240" w:before="0" w:after="0"/>
        <w:ind w:firstLine="567" w:end="0"/>
        <w:jc w:val="both"/>
        <w:rPr/>
      </w:pPr>
      <w:r>
        <w:rPr>
          <w:rFonts w:cs="Times New Roman" w:ascii="Times New Roman" w:hAnsi="Times New Roman"/>
          <w:sz w:val="28"/>
          <w:szCs w:val="28"/>
        </w:rPr>
        <w:t>Corpus balancing was controlled at the word level. Each of the ten outlet subcorpora contributed 100,000 running words, preventing larger outlets from dominating the frequency results. After Sketch Engine processing, tokenization produced slightly different token totals across outlets. For this reason, the analysis reports both raw frequencies and normalized per-million-token frequencies. Raw frequencies show the absolute number of article occurrences, while normalized frequencies standardize those counts in relation to corpus size, allowing fairer comparison across outlets.</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3.3 Outlet Selection, Time Period, and Collection</w:t>
      </w:r>
    </w:p>
    <w:p>
      <w:pPr>
        <w:pStyle w:val="Normal"/>
        <w:spacing w:lineRule="auto" w:line="240" w:before="0" w:after="0"/>
        <w:ind w:firstLine="567" w:end="0"/>
        <w:jc w:val="both"/>
        <w:rPr/>
      </w:pPr>
      <w:r>
        <w:rPr>
          <w:rFonts w:cs="Times New Roman" w:ascii="Times New Roman" w:hAnsi="Times New Roman"/>
          <w:sz w:val="28"/>
          <w:szCs w:val="28"/>
        </w:rPr>
        <w:t>The ten outlets were selected after preliminary checking with Sketch Engine and BootCaT Corpus Builder, followed by manual screening. These tools helped identify and confirm English-language news sources that regularly published economic news suitable for the study (</w:t>
      </w:r>
      <w:hyperlink w:anchor="Baroni_Bernardini_2004">
        <w:r>
          <w:rPr>
            <w:rStyle w:val="Hyperlink"/>
            <w:rFonts w:cs="Times New Roman" w:ascii="Times New Roman" w:hAnsi="Times New Roman"/>
            <w:sz w:val="28"/>
            <w:szCs w:val="28"/>
          </w:rPr>
          <w:t>Baroni &amp; Bernardini, 2004</w:t>
        </w:r>
      </w:hyperlink>
      <w:r>
        <w:rPr>
          <w:rFonts w:cs="Times New Roman" w:ascii="Times New Roman" w:hAnsi="Times New Roman"/>
          <w:sz w:val="28"/>
          <w:szCs w:val="28"/>
        </w:rPr>
        <w:t xml:space="preserve">; </w:t>
      </w:r>
      <w:hyperlink w:anchor="Kilgarriff_2014">
        <w:r>
          <w:rPr>
            <w:rStyle w:val="Hyperlink"/>
            <w:rFonts w:cs="Times New Roman" w:ascii="Times New Roman" w:hAnsi="Times New Roman"/>
            <w:sz w:val="28"/>
            <w:szCs w:val="28"/>
          </w:rPr>
          <w:t>Kilgarriff et al., 2014</w:t>
        </w:r>
      </w:hyperlink>
      <w:r>
        <w:rPr>
          <w:rFonts w:cs="Times New Roman" w:ascii="Times New Roman" w:hAnsi="Times New Roman"/>
          <w:sz w:val="28"/>
          <w:szCs w:val="28"/>
        </w:rPr>
        <w:t>). The selected outlets were Associated Press, BBC, Bloomberg, CNBC, CNN, The New York Times, Reuters, The Guardian, The Telegraph, and The Wall Street Journal. Articles were then collected manually between January 1 and March 31, 2026. Non-economic texts, duplicates, inaccessible items, and unsuitable materials were excluded during corpus preparation.</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3.4 Frequency Analysis and Sampling Procedure</w:t>
      </w:r>
    </w:p>
    <w:p>
      <w:pPr>
        <w:pStyle w:val="Normal"/>
        <w:spacing w:lineRule="auto" w:line="240" w:before="0" w:after="0"/>
        <w:ind w:firstLine="567" w:end="0"/>
        <w:jc w:val="both"/>
        <w:rPr/>
      </w:pPr>
      <w:r>
        <w:rPr>
          <w:rFonts w:cs="Times New Roman" w:ascii="Times New Roman" w:hAnsi="Times New Roman"/>
          <w:sz w:val="28"/>
          <w:szCs w:val="28"/>
        </w:rPr>
        <w:t xml:space="preserve">Article frequencies were extracted for </w:t>
      </w:r>
      <w:r>
        <w:rPr>
          <w:rFonts w:cs="Times New Roman" w:ascii="Times New Roman" w:hAnsi="Times New Roman"/>
          <w:i/>
          <w:sz w:val="28"/>
          <w:szCs w:val="28"/>
        </w:rPr>
        <w:t>the</w:t>
      </w:r>
      <w:r>
        <w:rPr>
          <w:rFonts w:cs="Times New Roman" w:ascii="Times New Roman" w:hAnsi="Times New Roman"/>
          <w:sz w:val="28"/>
          <w:szCs w:val="28"/>
        </w:rPr>
        <w:t xml:space="preserve">, </w:t>
      </w:r>
      <w:r>
        <w:rPr>
          <w:rFonts w:cs="Times New Roman" w:ascii="Times New Roman" w:hAnsi="Times New Roman"/>
          <w:i/>
          <w:sz w:val="28"/>
          <w:szCs w:val="28"/>
        </w:rPr>
        <w:t>a</w:t>
      </w:r>
      <w:r>
        <w:rPr>
          <w:rFonts w:cs="Times New Roman" w:ascii="Times New Roman" w:hAnsi="Times New Roman"/>
          <w:sz w:val="28"/>
          <w:szCs w:val="28"/>
        </w:rPr>
        <w:t xml:space="preserve">, and </w:t>
      </w:r>
      <w:r>
        <w:rPr>
          <w:rFonts w:cs="Times New Roman" w:ascii="Times New Roman" w:hAnsi="Times New Roman"/>
          <w:i/>
          <w:sz w:val="28"/>
          <w:szCs w:val="28"/>
        </w:rPr>
        <w:t>an</w:t>
      </w:r>
      <w:r>
        <w:rPr>
          <w:rFonts w:cs="Times New Roman" w:ascii="Times New Roman" w:hAnsi="Times New Roman"/>
          <w:sz w:val="28"/>
          <w:szCs w:val="28"/>
        </w:rPr>
        <w:t xml:space="preserve">. The forms </w:t>
      </w:r>
      <w:r>
        <w:rPr>
          <w:rFonts w:cs="Times New Roman" w:ascii="Times New Roman" w:hAnsi="Times New Roman"/>
          <w:i/>
          <w:sz w:val="28"/>
          <w:szCs w:val="28"/>
        </w:rPr>
        <w:t>a</w:t>
      </w:r>
      <w:r>
        <w:rPr>
          <w:rFonts w:cs="Times New Roman" w:ascii="Times New Roman" w:hAnsi="Times New Roman"/>
          <w:sz w:val="28"/>
          <w:szCs w:val="28"/>
        </w:rPr>
        <w:t xml:space="preserve"> and </w:t>
      </w:r>
      <w:r>
        <w:rPr>
          <w:rFonts w:cs="Times New Roman" w:ascii="Times New Roman" w:hAnsi="Times New Roman"/>
          <w:i/>
          <w:sz w:val="28"/>
          <w:szCs w:val="28"/>
        </w:rPr>
        <w:t>an</w:t>
      </w:r>
      <w:r>
        <w:rPr>
          <w:rFonts w:cs="Times New Roman" w:ascii="Times New Roman" w:hAnsi="Times New Roman"/>
          <w:sz w:val="28"/>
          <w:szCs w:val="28"/>
        </w:rPr>
        <w:t xml:space="preserve"> were also combined as total </w:t>
      </w:r>
      <w:r>
        <w:rPr>
          <w:rFonts w:cs="Times New Roman" w:ascii="Times New Roman" w:hAnsi="Times New Roman"/>
          <w:i/>
          <w:sz w:val="28"/>
          <w:szCs w:val="28"/>
        </w:rPr>
        <w:t>a/an</w:t>
      </w:r>
      <w:r>
        <w:rPr>
          <w:rFonts w:cs="Times New Roman" w:ascii="Times New Roman" w:hAnsi="Times New Roman"/>
          <w:sz w:val="28"/>
          <w:szCs w:val="28"/>
        </w:rPr>
        <w:t>. Raw frequency refers to the actual number of occurrences found in the corpus or outlet subcorpus. Normalized frequency refers to the rate per million tokens, calculated as raw frequency divided by the relevant token total and multiplied by 1,000,000. This standardization allows outlets with slightly different Sketch Engine token totals to be compared fairly. For semantic coding, Sketch Engine concordance results were used to select 2,000 random noun phrases: 100 definite article samples and 100 indefinite article samples from each outlet</w:t>
      </w:r>
      <w:r>
        <w:rPr>
          <w:rFonts w:cs="Times New Roman" w:ascii="Times New Roman" w:hAnsi="Times New Roman"/>
        </w:rPr>
        <w:t>.</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3.5 Semantic Coding, Reliability, and Statistics</w:t>
      </w:r>
    </w:p>
    <w:p>
      <w:pPr>
        <w:pStyle w:val="Normal"/>
        <w:spacing w:lineRule="auto" w:line="240" w:before="0" w:after="0"/>
        <w:ind w:firstLine="567" w:end="0"/>
        <w:jc w:val="both"/>
        <w:rPr/>
      </w:pPr>
      <w:r>
        <w:rPr>
          <w:rFonts w:cs="Times New Roman" w:ascii="Times New Roman" w:hAnsi="Times New Roman"/>
          <w:sz w:val="28"/>
          <w:szCs w:val="28"/>
        </w:rPr>
        <w:t>Each noun phrase was coded along three semantic dimensions: definiteness, specificity, and genericity. Generic reference means that the noun phrase refers to a class, kind, domain, or general concept, while non-generic reference refers to a particular entity, event, dataset, or context-bound situation. Specific reference refers to a particular identifiable entity, event, institution, indicator, or amount, while non-specific reference is hypothetical, predictive, evaluative, abstract, general, or not a concrete instance. Definite reference is identifiable, unique, previously mentioned, or contextually known, while non-definite reference is introduced or not uniquely identifiable in context</w:t>
      </w:r>
      <w:r>
        <w:rPr>
          <w:rFonts w:cs="Times New Roman" w:ascii="Times New Roman" w:hAnsi="Times New Roman"/>
        </w:rPr>
        <w:t>.</w:t>
      </w:r>
    </w:p>
    <w:p>
      <w:pPr>
        <w:pStyle w:val="Normal"/>
        <w:keepNext w:val="true"/>
        <w:spacing w:lineRule="auto" w:line="240" w:before="280" w:after="160"/>
        <w:rPr/>
      </w:pPr>
      <w:r>
        <w:rPr>
          <w:rFonts w:cs="Times New Roman" w:ascii="Times New Roman" w:hAnsi="Times New Roman"/>
          <w:b/>
          <w:sz w:val="28"/>
          <w:szCs w:val="28"/>
        </w:rPr>
        <w:t>Table 2:</w:t>
      </w:r>
      <w:r>
        <w:rPr/>
        <w:t xml:space="preserve"> Semantic Reference Coding Framework</w:t>
      </w:r>
    </w:p>
    <w:tbl>
      <w:tblPr>
        <w:tblW w:w="9222" w:type="dxa"/>
        <w:jc w:val="center"/>
        <w:tblInd w:w="0" w:type="dxa"/>
        <w:tblLayout w:type="fixed"/>
        <w:tblCellMar>
          <w:top w:w="45" w:type="dxa"/>
          <w:start w:w="50" w:type="dxa"/>
          <w:bottom w:w="45" w:type="dxa"/>
          <w:end w:w="50" w:type="dxa"/>
        </w:tblCellMar>
      </w:tblPr>
      <w:tblGrid>
        <w:gridCol w:w="1027"/>
        <w:gridCol w:w="1586"/>
        <w:gridCol w:w="2130"/>
        <w:gridCol w:w="4479"/>
      </w:tblGrid>
      <w:tr>
        <w:trPr>
          <w:tblHeader w:val="true"/>
        </w:trPr>
        <w:tc>
          <w:tcPr>
            <w:tcW w:w="1027"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240" w:after="0"/>
              <w:jc w:val="center"/>
              <w:rPr>
                <w:rFonts w:ascii="Times New Roman" w:hAnsi="Times New Roman" w:cs="Times New Roman"/>
                <w:sz w:val="24"/>
                <w:szCs w:val="24"/>
              </w:rPr>
            </w:pPr>
            <w:r>
              <w:rPr>
                <w:rFonts w:cs="Times New Roman" w:ascii="Times New Roman" w:hAnsi="Times New Roman"/>
                <w:b/>
                <w:sz w:val="24"/>
                <w:szCs w:val="24"/>
              </w:rPr>
              <w:t>Code</w:t>
            </w:r>
          </w:p>
        </w:tc>
        <w:tc>
          <w:tcPr>
            <w:tcW w:w="1586"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240" w:after="0"/>
              <w:jc w:val="center"/>
              <w:rPr>
                <w:rFonts w:ascii="Times New Roman" w:hAnsi="Times New Roman" w:cs="Times New Roman"/>
                <w:sz w:val="24"/>
                <w:szCs w:val="24"/>
              </w:rPr>
            </w:pPr>
            <w:r>
              <w:rPr>
                <w:rFonts w:cs="Times New Roman" w:ascii="Times New Roman" w:hAnsi="Times New Roman"/>
                <w:b/>
                <w:sz w:val="24"/>
                <w:szCs w:val="24"/>
              </w:rPr>
              <w:t>Dimension</w:t>
            </w:r>
          </w:p>
        </w:tc>
        <w:tc>
          <w:tcPr>
            <w:tcW w:w="213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240" w:after="0"/>
              <w:jc w:val="center"/>
              <w:rPr>
                <w:rFonts w:ascii="Times New Roman" w:hAnsi="Times New Roman" w:cs="Times New Roman"/>
                <w:sz w:val="24"/>
                <w:szCs w:val="24"/>
              </w:rPr>
            </w:pPr>
            <w:r>
              <w:rPr>
                <w:rFonts w:cs="Times New Roman" w:ascii="Times New Roman" w:hAnsi="Times New Roman"/>
                <w:b/>
                <w:sz w:val="24"/>
                <w:szCs w:val="24"/>
              </w:rPr>
              <w:t>Reference name</w:t>
            </w:r>
          </w:p>
        </w:tc>
        <w:tc>
          <w:tcPr>
            <w:tcW w:w="447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240" w:after="0"/>
              <w:jc w:val="center"/>
              <w:rPr>
                <w:rFonts w:ascii="Times New Roman" w:hAnsi="Times New Roman" w:cs="Times New Roman"/>
                <w:sz w:val="24"/>
                <w:szCs w:val="24"/>
              </w:rPr>
            </w:pPr>
            <w:r>
              <w:rPr>
                <w:rFonts w:cs="Times New Roman" w:ascii="Times New Roman" w:hAnsi="Times New Roman"/>
                <w:b/>
                <w:sz w:val="24"/>
                <w:szCs w:val="24"/>
              </w:rPr>
              <w:t>Definition</w:t>
            </w:r>
          </w:p>
        </w:tc>
      </w:tr>
      <w:tr>
        <w:trPr/>
        <w:tc>
          <w:tcPr>
            <w:tcW w:w="102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1</w:t>
            </w:r>
          </w:p>
        </w:tc>
        <w:tc>
          <w:tcPr>
            <w:tcW w:w="15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Genericity</w:t>
            </w:r>
          </w:p>
        </w:tc>
        <w:tc>
          <w:tcPr>
            <w:tcW w:w="21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Generic reference</w:t>
            </w:r>
          </w:p>
        </w:tc>
        <w:tc>
          <w:tcPr>
            <w:tcW w:w="44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Class, kind, domain, or general concept</w:t>
            </w:r>
          </w:p>
        </w:tc>
      </w:tr>
      <w:tr>
        <w:trPr/>
        <w:tc>
          <w:tcPr>
            <w:tcW w:w="102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2</w:t>
            </w:r>
          </w:p>
        </w:tc>
        <w:tc>
          <w:tcPr>
            <w:tcW w:w="15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Genericity</w:t>
            </w:r>
          </w:p>
        </w:tc>
        <w:tc>
          <w:tcPr>
            <w:tcW w:w="21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Non-generic reference</w:t>
            </w:r>
          </w:p>
        </w:tc>
        <w:tc>
          <w:tcPr>
            <w:tcW w:w="44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Particular situation, event, entity, dataset, or context-bound referent</w:t>
            </w:r>
          </w:p>
        </w:tc>
      </w:tr>
      <w:tr>
        <w:trPr/>
        <w:tc>
          <w:tcPr>
            <w:tcW w:w="102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3</w:t>
            </w:r>
          </w:p>
        </w:tc>
        <w:tc>
          <w:tcPr>
            <w:tcW w:w="15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Specificity</w:t>
            </w:r>
          </w:p>
        </w:tc>
        <w:tc>
          <w:tcPr>
            <w:tcW w:w="21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Specific reference</w:t>
            </w:r>
          </w:p>
        </w:tc>
        <w:tc>
          <w:tcPr>
            <w:tcW w:w="44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pPr>
            <w:r>
              <w:rPr>
                <w:rFonts w:cs="Times New Roman" w:ascii="Times New Roman" w:hAnsi="Times New Roman"/>
                <w:sz w:val="24"/>
                <w:szCs w:val="24"/>
              </w:rPr>
              <w:t>Particular identifiable entity, event, institution, indicator, or amount</w:t>
            </w:r>
          </w:p>
        </w:tc>
      </w:tr>
      <w:tr>
        <w:trPr/>
        <w:tc>
          <w:tcPr>
            <w:tcW w:w="102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4</w:t>
            </w:r>
          </w:p>
        </w:tc>
        <w:tc>
          <w:tcPr>
            <w:tcW w:w="15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Specificity</w:t>
            </w:r>
          </w:p>
        </w:tc>
        <w:tc>
          <w:tcPr>
            <w:tcW w:w="21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Non-specific reference</w:t>
            </w:r>
          </w:p>
        </w:tc>
        <w:tc>
          <w:tcPr>
            <w:tcW w:w="44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Hypothetical, predictive, abstract, evaluative, general, or not a concrete instance</w:t>
            </w:r>
          </w:p>
        </w:tc>
      </w:tr>
      <w:tr>
        <w:trPr/>
        <w:tc>
          <w:tcPr>
            <w:tcW w:w="102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5</w:t>
            </w:r>
          </w:p>
        </w:tc>
        <w:tc>
          <w:tcPr>
            <w:tcW w:w="15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Definiteness</w:t>
            </w:r>
          </w:p>
        </w:tc>
        <w:tc>
          <w:tcPr>
            <w:tcW w:w="21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Definite reference</w:t>
            </w:r>
          </w:p>
        </w:tc>
        <w:tc>
          <w:tcPr>
            <w:tcW w:w="44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Identifiable, unique, previously mentioned, or contextually known</w:t>
            </w:r>
          </w:p>
        </w:tc>
      </w:tr>
      <w:tr>
        <w:trPr/>
        <w:tc>
          <w:tcPr>
            <w:tcW w:w="102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6</w:t>
            </w:r>
          </w:p>
        </w:tc>
        <w:tc>
          <w:tcPr>
            <w:tcW w:w="158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Definiteness</w:t>
            </w:r>
          </w:p>
        </w:tc>
        <w:tc>
          <w:tcPr>
            <w:tcW w:w="21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Non-definite reference</w:t>
            </w:r>
          </w:p>
        </w:tc>
        <w:tc>
          <w:tcPr>
            <w:tcW w:w="44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240" w:after="0"/>
              <w:rPr>
                <w:rFonts w:ascii="Times New Roman" w:hAnsi="Times New Roman" w:cs="Times New Roman"/>
                <w:sz w:val="24"/>
                <w:szCs w:val="24"/>
              </w:rPr>
            </w:pPr>
            <w:r>
              <w:rPr>
                <w:rFonts w:cs="Times New Roman" w:ascii="Times New Roman" w:hAnsi="Times New Roman"/>
                <w:sz w:val="24"/>
                <w:szCs w:val="24"/>
              </w:rPr>
              <w:t>Introduced, open, nonspecific, or not uniquely identifiable in context</w:t>
            </w:r>
          </w:p>
        </w:tc>
      </w:tr>
    </w:tbl>
    <w:p>
      <w:pPr>
        <w:pStyle w:val="Normal"/>
        <w:spacing w:lineRule="auto" w:line="240" w:before="0" w:after="0"/>
        <w:ind w:firstLine="567" w:end="0"/>
        <w:jc w:val="both"/>
        <w:rPr/>
      </w:pPr>
      <w:r>
        <w:rPr>
          <w:rFonts w:cs="Times New Roman" w:ascii="Times New Roman" w:hAnsi="Times New Roman"/>
          <w:sz w:val="28"/>
          <w:szCs w:val="28"/>
        </w:rPr>
        <w:t>Inter-coder reliability was checked on 200 samples using the same semantic framework. The final reliability dataset contained no missing or invalid coding cells. After semantic coding, the coded data were organized, checked, and tabulated in Microsoft Excel. Cross-tabulations, chi-square tests, Cramer’s V, pairwise similarity, and inter-coder reliability statistics were then calculated using IBM SPSS Statistics, Version 27 (</w:t>
      </w:r>
      <w:hyperlink w:anchor="IBM_2020">
        <w:r>
          <w:rPr>
            <w:rStyle w:val="Hyperlink"/>
            <w:rFonts w:cs="Times New Roman" w:ascii="Times New Roman" w:hAnsi="Times New Roman"/>
            <w:sz w:val="28"/>
            <w:szCs w:val="28"/>
          </w:rPr>
          <w:t>IBM Corp., 2020</w:t>
        </w:r>
      </w:hyperlink>
      <w:r>
        <w:rPr>
          <w:rFonts w:cs="Times New Roman" w:ascii="Times New Roman" w:hAnsi="Times New Roman"/>
          <w:sz w:val="28"/>
          <w:szCs w:val="28"/>
        </w:rPr>
        <w:t>). Excel was used for data cleaning, coding-sheet arrangement, and summary tables, while SPSS was used for statistical testing and reliability analysis.</w:t>
      </w:r>
    </w:p>
    <w:p>
      <w:pPr>
        <w:pStyle w:val="Heading1"/>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4. Results</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4.1 Overall Article Frequencies</w:t>
      </w:r>
    </w:p>
    <w:p>
      <w:pPr>
        <w:pStyle w:val="Normal"/>
        <w:spacing w:lineRule="auto" w:line="240" w:before="0" w:after="0"/>
        <w:ind w:firstLine="567" w:end="0"/>
        <w:jc w:val="both"/>
        <w:rPr/>
      </w:pPr>
      <w:r>
        <w:rPr>
          <w:rFonts w:cs="Times New Roman" w:ascii="Times New Roman" w:hAnsi="Times New Roman"/>
          <w:sz w:val="28"/>
          <w:szCs w:val="28"/>
        </w:rPr>
        <w:t xml:space="preserve">The overall frequency results show that the definite article is dominant in English economic news. In EENC-2026, </w:t>
      </w:r>
      <w:r>
        <w:rPr>
          <w:rFonts w:cs="Times New Roman" w:ascii="Times New Roman" w:hAnsi="Times New Roman"/>
          <w:i/>
          <w:sz w:val="28"/>
          <w:szCs w:val="28"/>
        </w:rPr>
        <w:t>the</w:t>
      </w:r>
      <w:r>
        <w:rPr>
          <w:rFonts w:cs="Times New Roman" w:ascii="Times New Roman" w:hAnsi="Times New Roman"/>
          <w:sz w:val="28"/>
          <w:szCs w:val="28"/>
        </w:rPr>
        <w:t xml:space="preserve"> occurs 61,311 times, while </w:t>
      </w:r>
      <w:r>
        <w:rPr>
          <w:rFonts w:cs="Times New Roman" w:ascii="Times New Roman" w:hAnsi="Times New Roman"/>
          <w:i/>
          <w:sz w:val="28"/>
          <w:szCs w:val="28"/>
        </w:rPr>
        <w:t>a</w:t>
      </w:r>
      <w:r>
        <w:rPr>
          <w:rFonts w:cs="Times New Roman" w:ascii="Times New Roman" w:hAnsi="Times New Roman"/>
          <w:sz w:val="28"/>
          <w:szCs w:val="28"/>
        </w:rPr>
        <w:t xml:space="preserve"> occurs 21,914 times and </w:t>
      </w:r>
      <w:r>
        <w:rPr>
          <w:rFonts w:cs="Times New Roman" w:ascii="Times New Roman" w:hAnsi="Times New Roman"/>
          <w:i/>
          <w:sz w:val="28"/>
          <w:szCs w:val="28"/>
        </w:rPr>
        <w:t>an</w:t>
      </w:r>
      <w:r>
        <w:rPr>
          <w:rFonts w:cs="Times New Roman" w:ascii="Times New Roman" w:hAnsi="Times New Roman"/>
          <w:sz w:val="28"/>
          <w:szCs w:val="28"/>
        </w:rPr>
        <w:t xml:space="preserve"> occurs 3,454 times. There are 25,368 instances of the indefinite articles </w:t>
      </w:r>
      <w:r>
        <w:rPr>
          <w:rFonts w:cs="Times New Roman" w:ascii="Times New Roman" w:hAnsi="Times New Roman"/>
          <w:i/>
          <w:sz w:val="28"/>
          <w:szCs w:val="28"/>
        </w:rPr>
        <w:t>a/an</w:t>
      </w:r>
      <w:r>
        <w:rPr>
          <w:rFonts w:cs="Times New Roman" w:ascii="Times New Roman" w:hAnsi="Times New Roman"/>
          <w:sz w:val="28"/>
          <w:szCs w:val="28"/>
        </w:rPr>
        <w:t xml:space="preserve">. Out of the 86,679 overt article tokens examined, </w:t>
      </w:r>
      <w:r>
        <w:rPr>
          <w:rFonts w:cs="Times New Roman" w:ascii="Times New Roman" w:hAnsi="Times New Roman"/>
          <w:i/>
          <w:sz w:val="28"/>
          <w:szCs w:val="28"/>
        </w:rPr>
        <w:t>the</w:t>
      </w:r>
      <w:r>
        <w:rPr>
          <w:rFonts w:cs="Times New Roman" w:ascii="Times New Roman" w:hAnsi="Times New Roman"/>
          <w:sz w:val="28"/>
          <w:szCs w:val="28"/>
        </w:rPr>
        <w:t xml:space="preserve"> accounts for 70.73%, whereas </w:t>
      </w:r>
      <w:r>
        <w:rPr>
          <w:rFonts w:cs="Times New Roman" w:ascii="Times New Roman" w:hAnsi="Times New Roman"/>
          <w:i/>
          <w:sz w:val="28"/>
          <w:szCs w:val="28"/>
        </w:rPr>
        <w:t>a/an</w:t>
      </w:r>
      <w:r>
        <w:rPr>
          <w:rFonts w:cs="Times New Roman" w:ascii="Times New Roman" w:hAnsi="Times New Roman"/>
          <w:sz w:val="28"/>
          <w:szCs w:val="28"/>
        </w:rPr>
        <w:t xml:space="preserve"> accounts for 29.27%. This dominance is consistent with the institutional and event-based nature of economic reporting, where readers are often expected to recognize markets, known institutions, economic indicators, and previously established events from shared context.</w:t>
      </w:r>
    </w:p>
    <w:p>
      <w:pPr>
        <w:pStyle w:val="Normal"/>
        <w:keepNext w:val="true"/>
        <w:spacing w:lineRule="auto" w:line="240" w:before="280" w:after="160"/>
        <w:rPr/>
      </w:pPr>
      <w:r>
        <w:rPr>
          <w:rFonts w:cs="Times New Roman" w:ascii="Times New Roman" w:hAnsi="Times New Roman"/>
          <w:b/>
          <w:sz w:val="28"/>
          <w:szCs w:val="28"/>
        </w:rPr>
        <w:t>Table 3:</w:t>
      </w:r>
      <w:r>
        <w:rPr/>
        <w:t xml:space="preserve"> Overall Article Frequencies in EENC-2026</w:t>
      </w:r>
    </w:p>
    <w:tbl>
      <w:tblPr>
        <w:tblW w:w="9222" w:type="dxa"/>
        <w:jc w:val="center"/>
        <w:tblInd w:w="0" w:type="dxa"/>
        <w:tblLayout w:type="fixed"/>
        <w:tblCellMar>
          <w:top w:w="45" w:type="dxa"/>
          <w:start w:w="50" w:type="dxa"/>
          <w:bottom w:w="45" w:type="dxa"/>
          <w:end w:w="50" w:type="dxa"/>
        </w:tblCellMar>
      </w:tblPr>
      <w:tblGrid>
        <w:gridCol w:w="2338"/>
        <w:gridCol w:w="2300"/>
        <w:gridCol w:w="2294"/>
        <w:gridCol w:w="2290"/>
      </w:tblGrid>
      <w:tr>
        <w:trPr>
          <w:tblHeader w:val="true"/>
        </w:trPr>
        <w:tc>
          <w:tcPr>
            <w:tcW w:w="2338"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Article form/category</w:t>
            </w:r>
          </w:p>
        </w:tc>
        <w:tc>
          <w:tcPr>
            <w:tcW w:w="230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Raw frequency</w:t>
            </w:r>
          </w:p>
        </w:tc>
        <w:tc>
          <w:tcPr>
            <w:tcW w:w="2294"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Per million tokens</w:t>
            </w:r>
          </w:p>
        </w:tc>
        <w:tc>
          <w:tcPr>
            <w:tcW w:w="229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Share of analyzed overt articles</w:t>
            </w:r>
          </w:p>
        </w:tc>
      </w:tr>
      <w:tr>
        <w:trPr/>
        <w:tc>
          <w:tcPr>
            <w:tcW w:w="2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i/>
                <w:sz w:val="21"/>
                <w:szCs w:val="24"/>
              </w:rPr>
              <w:t>the</w:t>
            </w:r>
          </w:p>
        </w:tc>
        <w:tc>
          <w:tcPr>
            <w:tcW w:w="2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61,311</w:t>
            </w:r>
          </w:p>
        </w:tc>
        <w:tc>
          <w:tcPr>
            <w:tcW w:w="229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52,184.33</w:t>
            </w:r>
          </w:p>
        </w:tc>
        <w:tc>
          <w:tcPr>
            <w:tcW w:w="22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70.73%</w:t>
            </w:r>
          </w:p>
        </w:tc>
      </w:tr>
      <w:tr>
        <w:trPr/>
        <w:tc>
          <w:tcPr>
            <w:tcW w:w="2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i/>
                <w:sz w:val="21"/>
                <w:szCs w:val="24"/>
              </w:rPr>
              <w:t>a</w:t>
            </w:r>
          </w:p>
        </w:tc>
        <w:tc>
          <w:tcPr>
            <w:tcW w:w="2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21,914</w:t>
            </w:r>
          </w:p>
        </w:tc>
        <w:tc>
          <w:tcPr>
            <w:tcW w:w="229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18,651.91</w:t>
            </w:r>
          </w:p>
        </w:tc>
        <w:tc>
          <w:tcPr>
            <w:tcW w:w="22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25.28%</w:t>
            </w:r>
          </w:p>
        </w:tc>
      </w:tr>
      <w:tr>
        <w:trPr/>
        <w:tc>
          <w:tcPr>
            <w:tcW w:w="2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i/>
                <w:sz w:val="21"/>
                <w:szCs w:val="24"/>
              </w:rPr>
              <w:t>an</w:t>
            </w:r>
          </w:p>
        </w:tc>
        <w:tc>
          <w:tcPr>
            <w:tcW w:w="2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3,454</w:t>
            </w:r>
          </w:p>
        </w:tc>
        <w:tc>
          <w:tcPr>
            <w:tcW w:w="229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2,939.84</w:t>
            </w:r>
          </w:p>
        </w:tc>
        <w:tc>
          <w:tcPr>
            <w:tcW w:w="22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3.98%</w:t>
            </w:r>
          </w:p>
        </w:tc>
      </w:tr>
      <w:tr>
        <w:trPr/>
        <w:tc>
          <w:tcPr>
            <w:tcW w:w="2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a/</w:t>
            </w:r>
            <w:r>
              <w:rPr>
                <w:rFonts w:cs="Times New Roman" w:ascii="Times New Roman" w:hAnsi="Times New Roman"/>
                <w:i/>
                <w:sz w:val="21"/>
                <w:szCs w:val="24"/>
              </w:rPr>
              <w:t>an</w:t>
            </w:r>
            <w:r>
              <w:rPr>
                <w:rFonts w:cs="Times New Roman" w:ascii="Times New Roman" w:hAnsi="Times New Roman"/>
                <w:sz w:val="21"/>
                <w:szCs w:val="24"/>
              </w:rPr>
              <w:t xml:space="preserve"> total</w:t>
            </w:r>
          </w:p>
        </w:tc>
        <w:tc>
          <w:tcPr>
            <w:tcW w:w="23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25,368</w:t>
            </w:r>
          </w:p>
        </w:tc>
        <w:tc>
          <w:tcPr>
            <w:tcW w:w="229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21,591.75</w:t>
            </w:r>
          </w:p>
        </w:tc>
        <w:tc>
          <w:tcPr>
            <w:tcW w:w="22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sz w:val="21"/>
                <w:szCs w:val="24"/>
              </w:rPr>
              <w:t>29.27%</w:t>
            </w:r>
          </w:p>
        </w:tc>
      </w:tr>
    </w:tbl>
    <w:p>
      <w:pPr>
        <w:pStyle w:val="Normal"/>
        <w:keepNext w:val="true"/>
        <w:spacing w:lineRule="auto" w:line="240" w:before="280" w:after="160"/>
        <w:rPr/>
      </w:pPr>
      <w:r>
        <w:rPr>
          <w:rFonts w:cs="Times New Roman" w:ascii="Times New Roman" w:hAnsi="Times New Roman"/>
          <w:b/>
          <w:sz w:val="24"/>
          <w:szCs w:val="24"/>
        </w:rPr>
        <w:t>Figure 1:</w:t>
      </w:r>
      <w:r>
        <w:rPr>
          <w:rFonts w:cs="Times New Roman" w:ascii="Times New Roman" w:hAnsi="Times New Roman"/>
          <w:sz w:val="24"/>
          <w:szCs w:val="24"/>
        </w:rPr>
        <w:t xml:space="preserve"> Overall Frequencies of the Definite Article and Indefinite Article Forms in EENC-2026</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6406515" cy="2745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l="-2" t="-5" r="-2" b="-5"/>
                    <a:stretch>
                      <a:fillRect/>
                    </a:stretch>
                  </pic:blipFill>
                  <pic:spPr bwMode="auto">
                    <a:xfrm>
                      <a:off x="0" y="0"/>
                      <a:ext cx="6406515" cy="2745105"/>
                    </a:xfrm>
                    <a:prstGeom prst="rect">
                      <a:avLst/>
                    </a:prstGeom>
                    <a:noFill/>
                  </pic:spPr>
                </pic:pic>
              </a:graphicData>
            </a:graphic>
          </wp:inline>
        </w:drawing>
      </w:r>
    </w:p>
    <w:p>
      <w:pPr>
        <w:pStyle w:val="Normal"/>
        <w:spacing w:lineRule="auto" w:line="240" w:before="0" w:after="0"/>
        <w:jc w:val="both"/>
        <w:rPr/>
      </w:pPr>
      <w:r>
        <w:rPr>
          <w:rFonts w:cs="Times New Roman" w:ascii="Times New Roman" w:hAnsi="Times New Roman"/>
          <w:i/>
          <w:sz w:val="24"/>
          <w:szCs w:val="24"/>
        </w:rPr>
        <w:t xml:space="preserve">Note. </w:t>
      </w:r>
      <w:r>
        <w:rPr>
          <w:rFonts w:cs="Times New Roman" w:ascii="Times New Roman" w:hAnsi="Times New Roman"/>
          <w:sz w:val="24"/>
          <w:szCs w:val="24"/>
        </w:rPr>
        <w:t xml:space="preserve">The figure shows raw frequencies, meaning the actual number of article hits before adjustment for corpus size. It presents the absolute occurrence of </w:t>
      </w:r>
      <w:r>
        <w:rPr>
          <w:rFonts w:cs="Times New Roman" w:ascii="Times New Roman" w:hAnsi="Times New Roman"/>
          <w:i/>
          <w:sz w:val="24"/>
          <w:szCs w:val="24"/>
        </w:rPr>
        <w:t>the</w:t>
      </w:r>
      <w:r>
        <w:rPr>
          <w:rFonts w:cs="Times New Roman" w:ascii="Times New Roman" w:hAnsi="Times New Roman"/>
          <w:sz w:val="24"/>
          <w:szCs w:val="24"/>
        </w:rPr>
        <w:t xml:space="preserve">, </w:t>
      </w:r>
      <w:r>
        <w:rPr>
          <w:rFonts w:cs="Times New Roman" w:ascii="Times New Roman" w:hAnsi="Times New Roman"/>
          <w:i/>
          <w:sz w:val="24"/>
          <w:szCs w:val="24"/>
        </w:rPr>
        <w:t>a</w:t>
      </w:r>
      <w:r>
        <w:rPr>
          <w:rFonts w:cs="Times New Roman" w:ascii="Times New Roman" w:hAnsi="Times New Roman"/>
          <w:sz w:val="24"/>
          <w:szCs w:val="24"/>
        </w:rPr>
        <w:t xml:space="preserve">, </w:t>
      </w:r>
      <w:r>
        <w:rPr>
          <w:rFonts w:cs="Times New Roman" w:ascii="Times New Roman" w:hAnsi="Times New Roman"/>
          <w:i/>
          <w:sz w:val="24"/>
          <w:szCs w:val="24"/>
        </w:rPr>
        <w:t>an</w:t>
      </w:r>
      <w:r>
        <w:rPr>
          <w:rFonts w:cs="Times New Roman" w:ascii="Times New Roman" w:hAnsi="Times New Roman"/>
          <w:sz w:val="24"/>
          <w:szCs w:val="24"/>
        </w:rPr>
        <w:t xml:space="preserve">, and the combined </w:t>
      </w:r>
      <w:r>
        <w:rPr>
          <w:rFonts w:cs="Times New Roman" w:ascii="Times New Roman" w:hAnsi="Times New Roman"/>
          <w:i/>
          <w:sz w:val="24"/>
          <w:szCs w:val="24"/>
        </w:rPr>
        <w:t>a/an</w:t>
      </w:r>
      <w:r>
        <w:rPr>
          <w:rFonts w:cs="Times New Roman" w:ascii="Times New Roman" w:hAnsi="Times New Roman"/>
          <w:sz w:val="24"/>
          <w:szCs w:val="24"/>
        </w:rPr>
        <w:t xml:space="preserve"> category in EENC-2026. The much higher bar for </w:t>
      </w:r>
      <w:r>
        <w:rPr>
          <w:rFonts w:cs="Times New Roman" w:ascii="Times New Roman" w:hAnsi="Times New Roman"/>
          <w:i/>
          <w:sz w:val="24"/>
          <w:szCs w:val="24"/>
        </w:rPr>
        <w:t>the</w:t>
      </w:r>
      <w:r>
        <w:rPr>
          <w:rFonts w:cs="Times New Roman" w:ascii="Times New Roman" w:hAnsi="Times New Roman"/>
          <w:sz w:val="24"/>
          <w:szCs w:val="24"/>
        </w:rPr>
        <w:t xml:space="preserve"> shows the overall dominance of definite article marking in the corpus.</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4.2 Outlet-Based Frequency Patterns</w:t>
      </w:r>
    </w:p>
    <w:p>
      <w:pPr>
        <w:pStyle w:val="Normal"/>
        <w:spacing w:lineRule="auto" w:line="240" w:before="0" w:after="0"/>
        <w:ind w:firstLine="567" w:end="0"/>
        <w:jc w:val="both"/>
        <w:rPr/>
      </w:pPr>
      <w:r>
        <w:rPr>
          <w:rFonts w:cs="Times New Roman" w:ascii="Times New Roman" w:hAnsi="Times New Roman"/>
          <w:sz w:val="28"/>
          <w:szCs w:val="28"/>
        </w:rPr>
        <w:t xml:space="preserve">Outlet comparison shows that the definite article is more frequent than the total indefinite category in every outlet. Raw frequencies describe the absolute number of article hits in each outlet, while normalized frequencies describe the rate per million tokens. The Guardian records the highest raw frequency of </w:t>
      </w:r>
      <w:r>
        <w:rPr>
          <w:rFonts w:cs="Times New Roman" w:ascii="Times New Roman" w:hAnsi="Times New Roman"/>
          <w:i/>
          <w:sz w:val="28"/>
          <w:szCs w:val="28"/>
        </w:rPr>
        <w:t>the</w:t>
      </w:r>
      <w:r>
        <w:rPr>
          <w:rFonts w:cs="Times New Roman" w:ascii="Times New Roman" w:hAnsi="Times New Roman"/>
          <w:sz w:val="28"/>
          <w:szCs w:val="28"/>
        </w:rPr>
        <w:t xml:space="preserve">, followed by The Telegraph, BBC, and Bloomberg. The New York Times records the highest total </w:t>
      </w:r>
      <w:r>
        <w:rPr>
          <w:rFonts w:cs="Times New Roman" w:ascii="Times New Roman" w:hAnsi="Times New Roman"/>
          <w:i/>
          <w:sz w:val="28"/>
          <w:szCs w:val="28"/>
        </w:rPr>
        <w:t>a/an</w:t>
      </w:r>
      <w:r>
        <w:rPr>
          <w:rFonts w:cs="Times New Roman" w:ascii="Times New Roman" w:hAnsi="Times New Roman"/>
          <w:sz w:val="28"/>
          <w:szCs w:val="28"/>
        </w:rPr>
        <w:t xml:space="preserve"> frequency. The normalized results confirm that the dominance of </w:t>
      </w:r>
      <w:r>
        <w:rPr>
          <w:rFonts w:cs="Times New Roman" w:ascii="Times New Roman" w:hAnsi="Times New Roman"/>
          <w:i/>
          <w:sz w:val="28"/>
          <w:szCs w:val="28"/>
        </w:rPr>
        <w:t>the</w:t>
      </w:r>
      <w:r>
        <w:rPr>
          <w:rFonts w:cs="Times New Roman" w:ascii="Times New Roman" w:hAnsi="Times New Roman"/>
          <w:sz w:val="28"/>
          <w:szCs w:val="28"/>
        </w:rPr>
        <w:t xml:space="preserve"> is not simply a result of small differences in outlet token totals.</w:t>
      </w:r>
    </w:p>
    <w:p>
      <w:pPr>
        <w:pStyle w:val="Normal"/>
        <w:keepNext w:val="true"/>
        <w:spacing w:lineRule="auto" w:line="240" w:before="280" w:after="160"/>
        <w:rPr/>
      </w:pPr>
      <w:r>
        <w:rPr>
          <w:rFonts w:cs="Times New Roman" w:ascii="Times New Roman" w:hAnsi="Times New Roman"/>
          <w:b/>
        </w:rPr>
        <w:t>Table 4:</w:t>
      </w:r>
      <w:r>
        <w:rPr/>
        <w:t xml:space="preserve"> Article Frequencies Across Outlets</w:t>
      </w:r>
    </w:p>
    <w:tbl>
      <w:tblPr>
        <w:tblW w:w="9222" w:type="dxa"/>
        <w:jc w:val="center"/>
        <w:tblInd w:w="0" w:type="dxa"/>
        <w:tblLayout w:type="fixed"/>
        <w:tblCellMar>
          <w:top w:w="45" w:type="dxa"/>
          <w:start w:w="50" w:type="dxa"/>
          <w:bottom w:w="45" w:type="dxa"/>
          <w:end w:w="50" w:type="dxa"/>
        </w:tblCellMar>
      </w:tblPr>
      <w:tblGrid>
        <w:gridCol w:w="1176"/>
        <w:gridCol w:w="1030"/>
        <w:gridCol w:w="969"/>
        <w:gridCol w:w="970"/>
        <w:gridCol w:w="922"/>
        <w:gridCol w:w="970"/>
        <w:gridCol w:w="1081"/>
        <w:gridCol w:w="1081"/>
        <w:gridCol w:w="1023"/>
      </w:tblGrid>
      <w:tr>
        <w:trPr>
          <w:tblHeader w:val="true"/>
        </w:trPr>
        <w:tc>
          <w:tcPr>
            <w:tcW w:w="1176"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Outlet</w:t>
            </w:r>
          </w:p>
        </w:tc>
        <w:tc>
          <w:tcPr>
            <w:tcW w:w="103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Tokens</w:t>
            </w:r>
          </w:p>
        </w:tc>
        <w:tc>
          <w:tcPr>
            <w:tcW w:w="96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i/>
                <w:sz w:val="24"/>
                <w:szCs w:val="24"/>
              </w:rPr>
              <w:t>the</w:t>
            </w:r>
          </w:p>
        </w:tc>
        <w:tc>
          <w:tcPr>
            <w:tcW w:w="97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i/>
                <w:sz w:val="24"/>
                <w:szCs w:val="24"/>
              </w:rPr>
              <w:t>a</w:t>
            </w:r>
          </w:p>
        </w:tc>
        <w:tc>
          <w:tcPr>
            <w:tcW w:w="922"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i/>
                <w:sz w:val="24"/>
                <w:szCs w:val="24"/>
              </w:rPr>
              <w:t>an</w:t>
            </w:r>
          </w:p>
        </w:tc>
        <w:tc>
          <w:tcPr>
            <w:tcW w:w="97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i/>
                <w:sz w:val="24"/>
                <w:szCs w:val="24"/>
              </w:rPr>
              <w:t>a/an</w:t>
            </w:r>
          </w:p>
        </w:tc>
        <w:tc>
          <w:tcPr>
            <w:tcW w:w="1081"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the per million</w:t>
            </w:r>
          </w:p>
        </w:tc>
        <w:tc>
          <w:tcPr>
            <w:tcW w:w="1081"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a/</w:t>
            </w:r>
            <w:r>
              <w:rPr>
                <w:rFonts w:cs="Times New Roman" w:ascii="Times New Roman" w:hAnsi="Times New Roman"/>
                <w:b/>
                <w:i/>
                <w:sz w:val="24"/>
                <w:szCs w:val="24"/>
              </w:rPr>
              <w:t>an</w:t>
            </w:r>
            <w:r>
              <w:rPr>
                <w:rFonts w:cs="Times New Roman" w:ascii="Times New Roman" w:hAnsi="Times New Roman"/>
                <w:b/>
                <w:sz w:val="24"/>
                <w:szCs w:val="24"/>
              </w:rPr>
              <w:t xml:space="preserve"> per million</w:t>
            </w:r>
          </w:p>
        </w:tc>
        <w:tc>
          <w:tcPr>
            <w:tcW w:w="1023"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the share</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AP</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117,779</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5,926</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pPr>
            <w:r>
              <w:rPr>
                <w:rFonts w:cs="Times New Roman" w:ascii="Times New Roman" w:hAnsi="Times New Roman"/>
                <w:sz w:val="24"/>
                <w:szCs w:val="24"/>
              </w:rPr>
              <w:t>2,129</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310</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2,439</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50,314.57</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20,708.28</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70.84%</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BBC</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117,478</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6,408</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1,880</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336</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2,216</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54,546.38</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18,863.11</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74.30%</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CNN</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118,407</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5,716</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2,351</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356</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2,707</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48,274.17</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22,861.82</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67.86%</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Reuters</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118,858</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5,624</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2,135</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312</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2,447</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47,316.97</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20,587.59</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69.68%</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The Guardian</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117,662</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6,680</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2,272</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346</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2,618</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56,772.79</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22,250.17</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71.84%</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Bloomberg</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116,116</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6,366</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2,262</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348</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2,610</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54,824.49</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22,477.52</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70.92%</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CNBC</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119,102</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6,100</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2,117</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325</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2,442</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51,216.60</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20,503.43</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71.41%</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The Wall Street Journal</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116,598</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5,991</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2,290</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391</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2,681</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51,381.67</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22,993.53</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pPr>
            <w:r>
              <w:rPr>
                <w:rFonts w:cs="Times New Roman" w:ascii="Times New Roman" w:hAnsi="Times New Roman"/>
                <w:sz w:val="24"/>
                <w:szCs w:val="24"/>
              </w:rPr>
              <w:t>69.08%</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The New York Times</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115,795</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6,018</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2,405</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377</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2,782</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51,971.16</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24,025.22</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68.39%</w:t>
            </w:r>
          </w:p>
        </w:tc>
      </w:tr>
      <w:tr>
        <w:trPr/>
        <w:tc>
          <w:tcPr>
            <w:tcW w:w="11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The Telegraph</w:t>
            </w:r>
          </w:p>
        </w:tc>
        <w:tc>
          <w:tcPr>
            <w:tcW w:w="10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117,098</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6,482</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2,073</w:t>
            </w:r>
          </w:p>
        </w:tc>
        <w:tc>
          <w:tcPr>
            <w:tcW w:w="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353</w:t>
            </w:r>
          </w:p>
        </w:tc>
        <w:tc>
          <w:tcPr>
            <w:tcW w:w="9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2,426</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55,355.34</w:t>
            </w:r>
          </w:p>
        </w:tc>
        <w:tc>
          <w:tcPr>
            <w:tcW w:w="10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20,717.69</w:t>
            </w:r>
          </w:p>
        </w:tc>
        <w:tc>
          <w:tcPr>
            <w:tcW w:w="10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72.77%</w:t>
            </w:r>
          </w:p>
        </w:tc>
      </w:tr>
    </w:tbl>
    <w:p>
      <w:pPr>
        <w:pStyle w:val="Normal"/>
        <w:keepNext w:val="true"/>
        <w:spacing w:lineRule="auto" w:line="240" w:before="280" w:after="160"/>
        <w:rPr/>
      </w:pPr>
      <w:r>
        <w:rPr>
          <w:rFonts w:cs="Times New Roman" w:ascii="Times New Roman" w:hAnsi="Times New Roman"/>
          <w:b/>
          <w:sz w:val="24"/>
          <w:szCs w:val="24"/>
        </w:rPr>
        <w:t>Figure 2:</w:t>
      </w:r>
      <w:r>
        <w:rPr>
          <w:rFonts w:cs="Times New Roman" w:ascii="Times New Roman" w:hAnsi="Times New Roman"/>
          <w:sz w:val="24"/>
          <w:szCs w:val="24"/>
        </w:rPr>
        <w:t xml:space="preserve"> Raw Frequencies of the Definite Article and Total Indefinite Articles by Outlet</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092065" cy="2181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rcRect l="-2" t="-5" r="-2" b="-5"/>
                    <a:stretch>
                      <a:fillRect/>
                    </a:stretch>
                  </pic:blipFill>
                  <pic:spPr bwMode="auto">
                    <a:xfrm>
                      <a:off x="0" y="0"/>
                      <a:ext cx="5092065" cy="2181860"/>
                    </a:xfrm>
                    <a:prstGeom prst="rect">
                      <a:avLst/>
                    </a:prstGeom>
                    <a:noFill/>
                  </pic:spPr>
                </pic:pic>
              </a:graphicData>
            </a:graphic>
          </wp:inline>
        </w:drawing>
      </w:r>
    </w:p>
    <w:p>
      <w:pPr>
        <w:pStyle w:val="Normal"/>
        <w:spacing w:lineRule="auto" w:line="240" w:before="0" w:after="0"/>
        <w:jc w:val="both"/>
        <w:rPr/>
      </w:pPr>
      <w:r>
        <w:rPr>
          <w:rFonts w:cs="Times New Roman" w:ascii="Times New Roman" w:hAnsi="Times New Roman"/>
          <w:i/>
          <w:sz w:val="24"/>
          <w:szCs w:val="24"/>
        </w:rPr>
        <w:t xml:space="preserve">Note. </w:t>
      </w:r>
      <w:r>
        <w:rPr>
          <w:rFonts w:cs="Times New Roman" w:ascii="Times New Roman" w:hAnsi="Times New Roman"/>
          <w:sz w:val="24"/>
          <w:szCs w:val="24"/>
        </w:rPr>
        <w:t>The figure shows raw article frequencies by outlet. Raw frequency means the actual number of hits found within each outlet subcorpus. Because the outlets have slightly different Sketch Engine token totals, these values show absolute volume; Figure 3 provides the standardized rate-based comparison.</w:t>
      </w:r>
    </w:p>
    <w:p>
      <w:pPr>
        <w:pStyle w:val="Normal"/>
        <w:keepNext w:val="true"/>
        <w:spacing w:lineRule="auto" w:line="240" w:before="280" w:after="160"/>
        <w:rPr/>
      </w:pPr>
      <w:r>
        <w:rPr>
          <w:rFonts w:cs="Times New Roman" w:ascii="Times New Roman" w:hAnsi="Times New Roman"/>
          <w:b/>
        </w:rPr>
        <w:t>Figure 3:</w:t>
      </w:r>
      <w:r>
        <w:rPr>
          <w:rFonts w:cs="Times New Roman" w:ascii="Times New Roman" w:hAnsi="Times New Roman"/>
        </w:rPr>
        <w:t xml:space="preserve"> Normalized Frequencies per Million Tokens by Outlet</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530215" cy="284353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0"/>
                    <a:srcRect l="-6" t="-12" r="-6" b="-12"/>
                    <a:stretch>
                      <a:fillRect/>
                    </a:stretch>
                  </pic:blipFill>
                  <pic:spPr bwMode="auto">
                    <a:xfrm>
                      <a:off x="0" y="0"/>
                      <a:ext cx="5530215" cy="2843530"/>
                    </a:xfrm>
                    <a:prstGeom prst="rect">
                      <a:avLst/>
                    </a:prstGeom>
                    <a:noFill/>
                  </pic:spPr>
                </pic:pic>
              </a:graphicData>
            </a:graphic>
          </wp:inline>
        </w:drawing>
      </w:r>
    </w:p>
    <w:p>
      <w:pPr>
        <w:pStyle w:val="Normal"/>
        <w:spacing w:lineRule="auto" w:line="240" w:before="0" w:after="0"/>
        <w:jc w:val="both"/>
        <w:rPr/>
      </w:pPr>
      <w:r>
        <w:rPr>
          <w:rFonts w:cs="Times New Roman" w:ascii="Times New Roman" w:hAnsi="Times New Roman"/>
          <w:i/>
          <w:sz w:val="24"/>
          <w:szCs w:val="24"/>
        </w:rPr>
        <w:t xml:space="preserve">Note. </w:t>
      </w:r>
      <w:r>
        <w:rPr>
          <w:rFonts w:cs="Times New Roman" w:ascii="Times New Roman" w:hAnsi="Times New Roman"/>
          <w:sz w:val="24"/>
          <w:szCs w:val="24"/>
        </w:rPr>
        <w:t xml:space="preserve">The figure shows normalized article frequencies per million tokens. Normalized frequency is calculated by dividing raw hits by the outlet token total and multiplying by 1,000,000. This standardization allows fair comparison across outlets with slightly different token totals and confirms that </w:t>
      </w:r>
      <w:r>
        <w:rPr>
          <w:rFonts w:cs="Times New Roman" w:ascii="Times New Roman" w:hAnsi="Times New Roman"/>
          <w:i/>
          <w:sz w:val="24"/>
          <w:szCs w:val="24"/>
        </w:rPr>
        <w:t>the</w:t>
      </w:r>
      <w:r>
        <w:rPr>
          <w:rFonts w:cs="Times New Roman" w:ascii="Times New Roman" w:hAnsi="Times New Roman"/>
          <w:sz w:val="24"/>
          <w:szCs w:val="24"/>
        </w:rPr>
        <w:t xml:space="preserve"> remains more frequent after size adjustment</w:t>
      </w:r>
      <w:r>
        <w:rPr>
          <w:rFonts w:cs="Times New Roman" w:ascii="Times New Roman" w:hAnsi="Times New Roman"/>
        </w:rPr>
        <w:t>.</w:t>
      </w:r>
    </w:p>
    <w:p>
      <w:pPr>
        <w:pStyle w:val="Heading2"/>
        <w:spacing w:lineRule="auto" w:line="240" w:before="280" w:after="0"/>
        <w:ind w:hanging="0" w:start="0"/>
        <w:jc w:val="center"/>
        <w:rPr>
          <w:rFonts w:ascii="Times New Roman" w:hAnsi="Times New Roman" w:cs="Times New Roman"/>
        </w:rPr>
      </w:pPr>
      <w:r>
        <w:rPr>
          <w:rFonts w:eastAsia="Times New Roman" w:cs="Times New Roman" w:ascii="Times New Roman" w:hAnsi="Times New Roman"/>
          <w:sz w:val="32"/>
        </w:rPr>
        <w:t>4.3 Semantic Reference Types</w:t>
      </w:r>
    </w:p>
    <w:p>
      <w:pPr>
        <w:pStyle w:val="Normal"/>
        <w:spacing w:lineRule="auto" w:line="240" w:before="0" w:after="0"/>
        <w:ind w:firstLine="567" w:end="0"/>
        <w:jc w:val="both"/>
        <w:rPr/>
      </w:pPr>
      <w:r>
        <w:rPr>
          <w:rFonts w:cs="Times New Roman" w:ascii="Times New Roman" w:hAnsi="Times New Roman"/>
          <w:sz w:val="28"/>
          <w:szCs w:val="28"/>
        </w:rPr>
        <w:t>The 2,000-item reference-coding dataset shows that economic news strongly favors non-generic reference. There are 1,981 non-generic samples and only 19 generic samples. Specific reference also predominates: 1,402 samples are specific and 598 are non-specific. Because the dataset contains 1,000 definite and 1,000 indefinite article noun phrases, definiteness is evenly balanced by design. This means that the sample structure was controlled, while contextual coding was still able to reveal meaningful patterns in specificity and genericity.</w:t>
      </w:r>
    </w:p>
    <w:p>
      <w:pPr>
        <w:pStyle w:val="Normal"/>
        <w:keepNext w:val="true"/>
        <w:spacing w:lineRule="auto" w:line="240" w:before="280" w:after="160"/>
        <w:rPr/>
      </w:pPr>
      <w:r>
        <w:rPr>
          <w:rFonts w:cs="Times New Roman" w:ascii="Times New Roman" w:hAnsi="Times New Roman"/>
          <w:b/>
          <w:sz w:val="24"/>
          <w:szCs w:val="24"/>
        </w:rPr>
        <w:t>Table 5:</w:t>
      </w:r>
      <w:r>
        <w:rPr/>
        <w:t xml:space="preserve"> Overall Semantic Reference Categories in the RQ2 Dataset</w:t>
      </w:r>
    </w:p>
    <w:tbl>
      <w:tblPr>
        <w:tblW w:w="9222" w:type="dxa"/>
        <w:jc w:val="center"/>
        <w:tblInd w:w="0" w:type="dxa"/>
        <w:tblLayout w:type="fixed"/>
        <w:tblCellMar>
          <w:top w:w="45" w:type="dxa"/>
          <w:start w:w="50" w:type="dxa"/>
          <w:bottom w:w="45" w:type="dxa"/>
          <w:end w:w="50" w:type="dxa"/>
        </w:tblCellMar>
      </w:tblPr>
      <w:tblGrid>
        <w:gridCol w:w="2318"/>
        <w:gridCol w:w="2289"/>
        <w:gridCol w:w="2305"/>
        <w:gridCol w:w="2310"/>
      </w:tblGrid>
      <w:tr>
        <w:trPr>
          <w:tblHeader w:val="true"/>
        </w:trPr>
        <w:tc>
          <w:tcPr>
            <w:tcW w:w="2318"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Dimension</w:t>
            </w:r>
          </w:p>
        </w:tc>
        <w:tc>
          <w:tcPr>
            <w:tcW w:w="228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Category</w:t>
            </w:r>
          </w:p>
        </w:tc>
        <w:tc>
          <w:tcPr>
            <w:tcW w:w="2305"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Frequency</w:t>
            </w:r>
          </w:p>
        </w:tc>
        <w:tc>
          <w:tcPr>
            <w:tcW w:w="231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Percentage</w:t>
            </w:r>
          </w:p>
        </w:tc>
      </w:tr>
      <w:tr>
        <w:trPr/>
        <w:tc>
          <w:tcPr>
            <w:tcW w:w="23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Genericity</w:t>
            </w:r>
          </w:p>
        </w:tc>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Generic</w:t>
            </w:r>
          </w:p>
        </w:tc>
        <w:tc>
          <w:tcPr>
            <w:tcW w:w="2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19</w:t>
            </w:r>
          </w:p>
        </w:tc>
        <w:tc>
          <w:tcPr>
            <w:tcW w:w="23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0.95%</w:t>
            </w:r>
          </w:p>
        </w:tc>
      </w:tr>
      <w:tr>
        <w:trPr/>
        <w:tc>
          <w:tcPr>
            <w:tcW w:w="23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Genericity</w:t>
            </w:r>
          </w:p>
        </w:tc>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Non-generic</w:t>
            </w:r>
          </w:p>
        </w:tc>
        <w:tc>
          <w:tcPr>
            <w:tcW w:w="2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1,981</w:t>
            </w:r>
          </w:p>
        </w:tc>
        <w:tc>
          <w:tcPr>
            <w:tcW w:w="23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99.05%</w:t>
            </w:r>
          </w:p>
        </w:tc>
      </w:tr>
      <w:tr>
        <w:trPr/>
        <w:tc>
          <w:tcPr>
            <w:tcW w:w="23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Specificity</w:t>
            </w:r>
          </w:p>
        </w:tc>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Specific</w:t>
            </w:r>
          </w:p>
        </w:tc>
        <w:tc>
          <w:tcPr>
            <w:tcW w:w="2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1,402</w:t>
            </w:r>
          </w:p>
        </w:tc>
        <w:tc>
          <w:tcPr>
            <w:tcW w:w="23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70.10%</w:t>
            </w:r>
          </w:p>
        </w:tc>
      </w:tr>
      <w:tr>
        <w:trPr/>
        <w:tc>
          <w:tcPr>
            <w:tcW w:w="23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Specificity</w:t>
            </w:r>
          </w:p>
        </w:tc>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Non-specific</w:t>
            </w:r>
          </w:p>
        </w:tc>
        <w:tc>
          <w:tcPr>
            <w:tcW w:w="2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598</w:t>
            </w:r>
          </w:p>
        </w:tc>
        <w:tc>
          <w:tcPr>
            <w:tcW w:w="23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29.90%</w:t>
            </w:r>
          </w:p>
        </w:tc>
      </w:tr>
      <w:tr>
        <w:trPr/>
        <w:tc>
          <w:tcPr>
            <w:tcW w:w="23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Definiteness</w:t>
            </w:r>
          </w:p>
        </w:tc>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Definite</w:t>
            </w:r>
          </w:p>
        </w:tc>
        <w:tc>
          <w:tcPr>
            <w:tcW w:w="2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1,000</w:t>
            </w:r>
          </w:p>
        </w:tc>
        <w:tc>
          <w:tcPr>
            <w:tcW w:w="23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50.00%</w:t>
            </w:r>
          </w:p>
        </w:tc>
      </w:tr>
      <w:tr>
        <w:trPr/>
        <w:tc>
          <w:tcPr>
            <w:tcW w:w="23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Definiteness</w:t>
            </w:r>
          </w:p>
        </w:tc>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Non-definite</w:t>
            </w:r>
          </w:p>
        </w:tc>
        <w:tc>
          <w:tcPr>
            <w:tcW w:w="2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1,000</w:t>
            </w:r>
          </w:p>
        </w:tc>
        <w:tc>
          <w:tcPr>
            <w:tcW w:w="23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50.00%</w:t>
            </w:r>
          </w:p>
        </w:tc>
      </w:tr>
    </w:tbl>
    <w:p>
      <w:pPr>
        <w:pStyle w:val="Normal"/>
        <w:keepNext w:val="true"/>
        <w:spacing w:lineRule="auto" w:line="240" w:before="280" w:after="160"/>
        <w:rPr/>
      </w:pPr>
      <w:r>
        <w:rPr>
          <w:rFonts w:cs="Times New Roman" w:ascii="Times New Roman" w:hAnsi="Times New Roman"/>
          <w:b/>
          <w:sz w:val="24"/>
          <w:szCs w:val="24"/>
        </w:rPr>
        <w:t>Figure 4:</w:t>
      </w:r>
      <w:r>
        <w:rPr>
          <w:rFonts w:cs="Times New Roman" w:ascii="Times New Roman" w:hAnsi="Times New Roman"/>
          <w:sz w:val="24"/>
          <w:szCs w:val="24"/>
        </w:rPr>
        <w:t xml:space="preserve"> Overall Semantic Reference Categories in the 2,000-Sample Dataset</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208905" cy="21799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a:srcRect l="-3" t="-8" r="-3" b="-8"/>
                    <a:stretch>
                      <a:fillRect/>
                    </a:stretch>
                  </pic:blipFill>
                  <pic:spPr bwMode="auto">
                    <a:xfrm>
                      <a:off x="0" y="0"/>
                      <a:ext cx="5208905" cy="2179955"/>
                    </a:xfrm>
                    <a:prstGeom prst="rect">
                      <a:avLst/>
                    </a:prstGeom>
                    <a:noFill/>
                  </pic:spPr>
                </pic:pic>
              </a:graphicData>
            </a:graphic>
          </wp:inline>
        </w:drawing>
      </w:r>
    </w:p>
    <w:p>
      <w:pPr>
        <w:pStyle w:val="Normal"/>
        <w:spacing w:lineRule="auto" w:line="240" w:before="0" w:after="0"/>
        <w:rPr>
          <w:rFonts w:ascii="Times New Roman" w:hAnsi="Times New Roman" w:cs="Times New Roman"/>
          <w:sz w:val="24"/>
          <w:szCs w:val="24"/>
        </w:rPr>
      </w:pPr>
      <w:r>
        <w:rPr>
          <w:rFonts w:cs="Times New Roman" w:ascii="Times New Roman" w:hAnsi="Times New Roman"/>
          <w:i/>
          <w:sz w:val="24"/>
          <w:szCs w:val="24"/>
        </w:rPr>
        <w:t xml:space="preserve">Note. </w:t>
      </w:r>
      <w:r>
        <w:rPr>
          <w:rFonts w:cs="Times New Roman" w:ascii="Times New Roman" w:hAnsi="Times New Roman"/>
          <w:sz w:val="24"/>
          <w:szCs w:val="24"/>
        </w:rPr>
        <w:t>The figure shows the frequency of each semantic reference category in the 2,000-sample RQ2 dataset. These values come from the coding of genericity, specificity, and definiteness. The pattern shows that non-generic and specific references dominate, while generic reference is rare.</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ind w:firstLine="567" w:end="0"/>
        <w:jc w:val="both"/>
        <w:rPr/>
      </w:pPr>
      <w:r>
        <w:rPr>
          <w:rFonts w:cs="Times New Roman" w:ascii="Times New Roman" w:hAnsi="Times New Roman"/>
          <w:sz w:val="28"/>
          <w:szCs w:val="28"/>
        </w:rPr>
        <w:t>Definiteness is structurally linked to article type in this design: definite article samples were coded as definite reference, while indefinite article samples were coded as non-definite reference. The more revealing dimensions are specificity and genericity. Specificity results show that both article types can occur with specific reference, but definite article noun phrases are especially associated with particular institutions, indicators, and event-bound referents. Indefinite article noun phrases are more divided because they often introduce new specific items but also appear in predictive, evaluative, or hypothetical contexts.</w:t>
      </w:r>
    </w:p>
    <w:p>
      <w:pPr>
        <w:pStyle w:val="Normal"/>
        <w:keepNext w:val="true"/>
        <w:spacing w:lineRule="auto" w:line="240" w:before="280" w:after="160"/>
        <w:rPr/>
      </w:pPr>
      <w:r>
        <w:rPr>
          <w:rFonts w:cs="Times New Roman" w:ascii="Times New Roman" w:hAnsi="Times New Roman"/>
          <w:b/>
          <w:sz w:val="24"/>
          <w:szCs w:val="24"/>
        </w:rPr>
        <w:t>Table 6:</w:t>
      </w:r>
      <w:r>
        <w:rPr/>
        <w:t xml:space="preserve"> Specificity by Article Type</w:t>
      </w:r>
    </w:p>
    <w:tbl>
      <w:tblPr>
        <w:tblW w:w="9222" w:type="dxa"/>
        <w:jc w:val="center"/>
        <w:tblInd w:w="0" w:type="dxa"/>
        <w:tblLayout w:type="fixed"/>
        <w:tblCellMar>
          <w:top w:w="45" w:type="dxa"/>
          <w:start w:w="50" w:type="dxa"/>
          <w:bottom w:w="45" w:type="dxa"/>
          <w:end w:w="50" w:type="dxa"/>
        </w:tblCellMar>
      </w:tblPr>
      <w:tblGrid>
        <w:gridCol w:w="1858"/>
        <w:gridCol w:w="1843"/>
        <w:gridCol w:w="1839"/>
        <w:gridCol w:w="1843"/>
        <w:gridCol w:w="1839"/>
      </w:tblGrid>
      <w:tr>
        <w:trPr>
          <w:tblHeader w:val="true"/>
        </w:trPr>
        <w:tc>
          <w:tcPr>
            <w:tcW w:w="1858"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Article type</w:t>
            </w:r>
          </w:p>
        </w:tc>
        <w:tc>
          <w:tcPr>
            <w:tcW w:w="1843"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Specific</w:t>
            </w:r>
          </w:p>
        </w:tc>
        <w:tc>
          <w:tcPr>
            <w:tcW w:w="183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Non-specific</w:t>
            </w:r>
          </w:p>
        </w:tc>
        <w:tc>
          <w:tcPr>
            <w:tcW w:w="1843"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Specific %</w:t>
            </w:r>
          </w:p>
        </w:tc>
        <w:tc>
          <w:tcPr>
            <w:tcW w:w="183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Non-specific %</w:t>
            </w:r>
          </w:p>
        </w:tc>
      </w:tr>
      <w:tr>
        <w:trPr/>
        <w:tc>
          <w:tcPr>
            <w:tcW w:w="18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Definite article</w:t>
            </w:r>
          </w:p>
        </w:tc>
        <w:tc>
          <w:tcPr>
            <w:tcW w:w="18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903</w:t>
            </w:r>
          </w:p>
        </w:tc>
        <w:tc>
          <w:tcPr>
            <w:tcW w:w="18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97</w:t>
            </w:r>
          </w:p>
        </w:tc>
        <w:tc>
          <w:tcPr>
            <w:tcW w:w="18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90.30%</w:t>
            </w:r>
          </w:p>
        </w:tc>
        <w:tc>
          <w:tcPr>
            <w:tcW w:w="18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9.70%</w:t>
            </w:r>
          </w:p>
        </w:tc>
      </w:tr>
      <w:tr>
        <w:trPr/>
        <w:tc>
          <w:tcPr>
            <w:tcW w:w="18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Indefinite article</w:t>
            </w:r>
          </w:p>
        </w:tc>
        <w:tc>
          <w:tcPr>
            <w:tcW w:w="18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499</w:t>
            </w:r>
          </w:p>
        </w:tc>
        <w:tc>
          <w:tcPr>
            <w:tcW w:w="18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501</w:t>
            </w:r>
          </w:p>
        </w:tc>
        <w:tc>
          <w:tcPr>
            <w:tcW w:w="18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49.90%</w:t>
            </w:r>
          </w:p>
        </w:tc>
        <w:tc>
          <w:tcPr>
            <w:tcW w:w="18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50.10%</w:t>
            </w:r>
          </w:p>
        </w:tc>
      </w:tr>
    </w:tbl>
    <w:p>
      <w:pPr>
        <w:pStyle w:val="Normal"/>
        <w:keepNext w:val="true"/>
        <w:spacing w:lineRule="auto" w:line="240" w:before="280" w:after="160"/>
        <w:rPr/>
      </w:pPr>
      <w:r>
        <w:rPr>
          <w:rFonts w:cs="Times New Roman" w:ascii="Times New Roman" w:hAnsi="Times New Roman"/>
          <w:b/>
          <w:sz w:val="24"/>
          <w:szCs w:val="24"/>
        </w:rPr>
        <w:t>Figure 5:</w:t>
      </w:r>
      <w:r>
        <w:rPr>
          <w:rFonts w:cs="Times New Roman" w:ascii="Times New Roman" w:hAnsi="Times New Roman"/>
          <w:sz w:val="24"/>
          <w:szCs w:val="24"/>
        </w:rPr>
        <w:t xml:space="preserve"> Specific and Non-Specific Reference by Article Type</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069840" cy="202882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2"/>
                    <a:srcRect l="-7" t="-18" r="-7" b="-18"/>
                    <a:stretch>
                      <a:fillRect/>
                    </a:stretch>
                  </pic:blipFill>
                  <pic:spPr bwMode="auto">
                    <a:xfrm>
                      <a:off x="0" y="0"/>
                      <a:ext cx="5069840" cy="2028825"/>
                    </a:xfrm>
                    <a:prstGeom prst="rect">
                      <a:avLst/>
                    </a:prstGeom>
                    <a:noFill/>
                  </pic:spPr>
                </pic:pic>
              </a:graphicData>
            </a:graphic>
          </wp:inline>
        </w:drawing>
      </w:r>
    </w:p>
    <w:p>
      <w:pPr>
        <w:pStyle w:val="Normal"/>
        <w:spacing w:lineRule="auto" w:line="240" w:before="0" w:after="0"/>
        <w:rPr>
          <w:rFonts w:ascii="Times New Roman" w:hAnsi="Times New Roman" w:cs="Times New Roman"/>
          <w:sz w:val="24"/>
          <w:szCs w:val="24"/>
        </w:rPr>
      </w:pPr>
      <w:r>
        <w:rPr>
          <w:rFonts w:cs="Times New Roman" w:ascii="Times New Roman" w:hAnsi="Times New Roman"/>
          <w:i/>
          <w:sz w:val="24"/>
          <w:szCs w:val="24"/>
        </w:rPr>
        <w:t xml:space="preserve">Note. </w:t>
      </w:r>
      <w:r>
        <w:rPr>
          <w:rFonts w:cs="Times New Roman" w:ascii="Times New Roman" w:hAnsi="Times New Roman"/>
          <w:sz w:val="24"/>
          <w:szCs w:val="24"/>
        </w:rPr>
        <w:t>The figure shows how specific and non-specific references are distributed across definite and indefinite article samples. Specific reference means that the noun phrase refers to a particular entity, event, indicator, amount, or context-bound situation. The result shows that definite article samples are mostly specific, while indefinite article samples are divided more evenly between specific and non-specific uses.</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ind w:firstLine="567" w:end="0"/>
        <w:jc w:val="both"/>
        <w:rPr/>
      </w:pPr>
      <w:r>
        <w:rPr>
          <w:rFonts w:cs="Times New Roman" w:ascii="Times New Roman" w:hAnsi="Times New Roman"/>
          <w:sz w:val="28"/>
          <w:szCs w:val="28"/>
        </w:rPr>
        <w:t xml:space="preserve">Genericity is very low across the dataset. This result suggests that economic news mainly reports particular developments rather than making broad general statements about classes or kinds. Even when nouns such as </w:t>
      </w:r>
      <w:r>
        <w:rPr>
          <w:rFonts w:cs="Times New Roman" w:ascii="Times New Roman" w:hAnsi="Times New Roman"/>
          <w:i/>
          <w:sz w:val="28"/>
          <w:szCs w:val="28"/>
        </w:rPr>
        <w:t>economy</w:t>
      </w:r>
      <w:r>
        <w:rPr>
          <w:rFonts w:cs="Times New Roman" w:ascii="Times New Roman" w:hAnsi="Times New Roman"/>
          <w:sz w:val="28"/>
          <w:szCs w:val="28"/>
        </w:rPr>
        <w:t xml:space="preserve">, </w:t>
      </w:r>
      <w:r>
        <w:rPr>
          <w:rFonts w:cs="Times New Roman" w:ascii="Times New Roman" w:hAnsi="Times New Roman"/>
          <w:i/>
          <w:sz w:val="28"/>
          <w:szCs w:val="28"/>
        </w:rPr>
        <w:t>market</w:t>
      </w:r>
      <w:r>
        <w:rPr>
          <w:rFonts w:cs="Times New Roman" w:ascii="Times New Roman" w:hAnsi="Times New Roman"/>
          <w:sz w:val="28"/>
          <w:szCs w:val="28"/>
        </w:rPr>
        <w:t xml:space="preserve">, </w:t>
      </w:r>
      <w:r>
        <w:rPr>
          <w:rFonts w:cs="Times New Roman" w:ascii="Times New Roman" w:hAnsi="Times New Roman"/>
          <w:i/>
          <w:sz w:val="28"/>
          <w:szCs w:val="28"/>
        </w:rPr>
        <w:t>government</w:t>
      </w:r>
      <w:r>
        <w:rPr>
          <w:rFonts w:cs="Times New Roman" w:ascii="Times New Roman" w:hAnsi="Times New Roman"/>
          <w:sz w:val="28"/>
          <w:szCs w:val="28"/>
        </w:rPr>
        <w:t xml:space="preserve">, or </w:t>
      </w:r>
      <w:r>
        <w:rPr>
          <w:rFonts w:cs="Times New Roman" w:ascii="Times New Roman" w:hAnsi="Times New Roman"/>
          <w:i/>
          <w:sz w:val="28"/>
          <w:szCs w:val="28"/>
        </w:rPr>
        <w:t>bank</w:t>
      </w:r>
      <w:r>
        <w:rPr>
          <w:rFonts w:cs="Times New Roman" w:ascii="Times New Roman" w:hAnsi="Times New Roman"/>
          <w:sz w:val="28"/>
          <w:szCs w:val="28"/>
        </w:rPr>
        <w:t xml:space="preserve"> appear abstract, they are often tied to a specific national, institutional, temporal, or event-based context.</w:t>
      </w:r>
    </w:p>
    <w:p>
      <w:pPr>
        <w:pStyle w:val="Normal"/>
        <w:keepNext w:val="true"/>
        <w:spacing w:lineRule="auto" w:line="240" w:before="280" w:after="160"/>
        <w:rPr/>
      </w:pPr>
      <w:r>
        <w:rPr>
          <w:rFonts w:cs="Times New Roman" w:ascii="Times New Roman" w:hAnsi="Times New Roman"/>
          <w:b/>
          <w:sz w:val="24"/>
          <w:szCs w:val="24"/>
        </w:rPr>
        <w:t>Table 7:</w:t>
      </w:r>
      <w:r>
        <w:rPr/>
        <w:t xml:space="preserve"> Genericity by Article Type</w:t>
      </w:r>
    </w:p>
    <w:tbl>
      <w:tblPr>
        <w:tblW w:w="9222" w:type="dxa"/>
        <w:jc w:val="center"/>
        <w:tblInd w:w="0" w:type="dxa"/>
        <w:tblLayout w:type="fixed"/>
        <w:tblCellMar>
          <w:top w:w="45" w:type="dxa"/>
          <w:start w:w="50" w:type="dxa"/>
          <w:bottom w:w="45" w:type="dxa"/>
          <w:end w:w="50" w:type="dxa"/>
        </w:tblCellMar>
      </w:tblPr>
      <w:tblGrid>
        <w:gridCol w:w="1857"/>
        <w:gridCol w:w="1844"/>
        <w:gridCol w:w="1838"/>
        <w:gridCol w:w="1845"/>
        <w:gridCol w:w="1838"/>
      </w:tblGrid>
      <w:tr>
        <w:trPr>
          <w:tblHeader w:val="true"/>
        </w:trPr>
        <w:tc>
          <w:tcPr>
            <w:tcW w:w="1857"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Article type</w:t>
            </w:r>
          </w:p>
        </w:tc>
        <w:tc>
          <w:tcPr>
            <w:tcW w:w="1844"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Generic</w:t>
            </w:r>
          </w:p>
        </w:tc>
        <w:tc>
          <w:tcPr>
            <w:tcW w:w="1838"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Non-generic</w:t>
            </w:r>
          </w:p>
        </w:tc>
        <w:tc>
          <w:tcPr>
            <w:tcW w:w="1845"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Generic %</w:t>
            </w:r>
          </w:p>
        </w:tc>
        <w:tc>
          <w:tcPr>
            <w:tcW w:w="1838"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Non-generic %</w:t>
            </w:r>
          </w:p>
        </w:tc>
      </w:tr>
      <w:tr>
        <w:trPr/>
        <w:tc>
          <w:tcPr>
            <w:tcW w:w="185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Definite article</w:t>
            </w:r>
          </w:p>
        </w:tc>
        <w:tc>
          <w:tcPr>
            <w:tcW w:w="184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12</w:t>
            </w:r>
          </w:p>
        </w:tc>
        <w:tc>
          <w:tcPr>
            <w:tcW w:w="18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988</w:t>
            </w:r>
          </w:p>
        </w:tc>
        <w:tc>
          <w:tcPr>
            <w:tcW w:w="184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1.20%</w:t>
            </w:r>
          </w:p>
        </w:tc>
        <w:tc>
          <w:tcPr>
            <w:tcW w:w="18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98.80%</w:t>
            </w:r>
          </w:p>
        </w:tc>
      </w:tr>
      <w:tr>
        <w:trPr/>
        <w:tc>
          <w:tcPr>
            <w:tcW w:w="185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Indefinite article</w:t>
            </w:r>
          </w:p>
        </w:tc>
        <w:tc>
          <w:tcPr>
            <w:tcW w:w="184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w:t>
            </w:r>
          </w:p>
        </w:tc>
        <w:tc>
          <w:tcPr>
            <w:tcW w:w="18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993</w:t>
            </w:r>
          </w:p>
        </w:tc>
        <w:tc>
          <w:tcPr>
            <w:tcW w:w="184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0.70%</w:t>
            </w:r>
          </w:p>
        </w:tc>
        <w:tc>
          <w:tcPr>
            <w:tcW w:w="18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99.30%</w:t>
            </w:r>
          </w:p>
        </w:tc>
      </w:tr>
    </w:tbl>
    <w:p>
      <w:pPr>
        <w:pStyle w:val="Normal"/>
        <w:keepNext w:val="true"/>
        <w:spacing w:lineRule="auto" w:line="240" w:before="280" w:after="160"/>
        <w:rPr/>
      </w:pPr>
      <w:r>
        <w:rPr>
          <w:rFonts w:cs="Times New Roman" w:ascii="Times New Roman" w:hAnsi="Times New Roman"/>
          <w:b/>
          <w:sz w:val="24"/>
          <w:szCs w:val="24"/>
        </w:rPr>
        <w:t>Figure 6:</w:t>
      </w:r>
      <w:r>
        <w:rPr>
          <w:rFonts w:cs="Times New Roman" w:ascii="Times New Roman" w:hAnsi="Times New Roman"/>
          <w:sz w:val="24"/>
          <w:szCs w:val="24"/>
        </w:rPr>
        <w:t xml:space="preserve"> Generic Reference by Outlet in the RQ2 Sample</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6090920" cy="2359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3"/>
                    <a:srcRect l="-3" t="-8" r="-3" b="-8"/>
                    <a:stretch>
                      <a:fillRect/>
                    </a:stretch>
                  </pic:blipFill>
                  <pic:spPr bwMode="auto">
                    <a:xfrm>
                      <a:off x="0" y="0"/>
                      <a:ext cx="6090920" cy="2359025"/>
                    </a:xfrm>
                    <a:prstGeom prst="rect">
                      <a:avLst/>
                    </a:prstGeom>
                    <a:noFill/>
                  </pic:spPr>
                </pic:pic>
              </a:graphicData>
            </a:graphic>
          </wp:inline>
        </w:drawing>
      </w:r>
    </w:p>
    <w:p>
      <w:pPr>
        <w:pStyle w:val="Normal"/>
        <w:spacing w:lineRule="auto" w:line="240" w:before="0" w:after="0"/>
        <w:rPr/>
      </w:pPr>
      <w:r>
        <w:rPr>
          <w:rFonts w:cs="Times New Roman" w:ascii="Times New Roman" w:hAnsi="Times New Roman"/>
          <w:i/>
          <w:sz w:val="24"/>
          <w:szCs w:val="24"/>
        </w:rPr>
        <w:t xml:space="preserve">Note. </w:t>
      </w:r>
      <w:r>
        <w:rPr>
          <w:rFonts w:cs="Times New Roman" w:ascii="Times New Roman" w:hAnsi="Times New Roman"/>
          <w:sz w:val="24"/>
          <w:szCs w:val="24"/>
        </w:rPr>
        <w:t>The figure shows the number of generic references in each outlet. Generic reference means reference to a class, kind, domain, or general concept rather than to a particular event or situation. The low values show that economic news mainly reports specific contexts and developments rather than broad generic statements.</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4.4 Outlet-Level Semantic Results</w:t>
      </w:r>
    </w:p>
    <w:p>
      <w:pPr>
        <w:pStyle w:val="Normal"/>
        <w:spacing w:lineRule="auto" w:line="240" w:before="0" w:after="0"/>
        <w:ind w:firstLine="567" w:end="0"/>
        <w:jc w:val="both"/>
        <w:rPr/>
      </w:pPr>
      <w:r>
        <w:rPr>
          <w:rFonts w:cs="Times New Roman" w:ascii="Times New Roman" w:hAnsi="Times New Roman"/>
          <w:sz w:val="28"/>
          <w:szCs w:val="28"/>
        </w:rPr>
        <w:t>Outlet-level semantic results show variation in specificity while maintaining a shared preference for non-generic reference. Bloomberg has the highest number of specific references, while The Telegraph has the lowest. Generic references remain rare overall, although CNN and BBC record slightly more generic cases than most other outlets. This suggests that outlet style may influence the degree of specificity, but the broader discourse pattern remains stable: economic news is mainly event-oriented and non-generic.</w:t>
      </w:r>
    </w:p>
    <w:p>
      <w:pPr>
        <w:pStyle w:val="Normal"/>
        <w:keepNext w:val="true"/>
        <w:spacing w:lineRule="auto" w:line="240" w:before="280" w:after="160"/>
        <w:rPr/>
      </w:pPr>
      <w:r>
        <w:rPr>
          <w:rFonts w:cs="Times New Roman" w:ascii="Times New Roman" w:hAnsi="Times New Roman"/>
          <w:b/>
          <w:sz w:val="24"/>
          <w:szCs w:val="24"/>
        </w:rPr>
        <w:t>Table 8:</w:t>
      </w:r>
      <w:r>
        <w:rPr/>
        <w:t xml:space="preserve"> Semantic Reference Categories by Outlet</w:t>
      </w:r>
    </w:p>
    <w:tbl>
      <w:tblPr>
        <w:tblW w:w="9222" w:type="dxa"/>
        <w:jc w:val="center"/>
        <w:tblInd w:w="0" w:type="dxa"/>
        <w:tblLayout w:type="fixed"/>
        <w:tblCellMar>
          <w:top w:w="45" w:type="dxa"/>
          <w:start w:w="50" w:type="dxa"/>
          <w:bottom w:w="45" w:type="dxa"/>
          <w:end w:w="50" w:type="dxa"/>
        </w:tblCellMar>
      </w:tblPr>
      <w:tblGrid>
        <w:gridCol w:w="1177"/>
        <w:gridCol w:w="739"/>
        <w:gridCol w:w="930"/>
        <w:gridCol w:w="930"/>
        <w:gridCol w:w="929"/>
        <w:gridCol w:w="879"/>
        <w:gridCol w:w="919"/>
        <w:gridCol w:w="889"/>
        <w:gridCol w:w="930"/>
        <w:gridCol w:w="900"/>
      </w:tblGrid>
      <w:tr>
        <w:trPr>
          <w:tblHeader w:val="true"/>
        </w:trPr>
        <w:tc>
          <w:tcPr>
            <w:tcW w:w="1177"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Outlet</w:t>
            </w:r>
          </w:p>
        </w:tc>
        <w:tc>
          <w:tcPr>
            <w:tcW w:w="73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Rows</w:t>
            </w:r>
          </w:p>
        </w:tc>
        <w:tc>
          <w:tcPr>
            <w:tcW w:w="93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Def. article samples</w:t>
            </w:r>
          </w:p>
        </w:tc>
        <w:tc>
          <w:tcPr>
            <w:tcW w:w="93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Indef. article samples</w:t>
            </w:r>
          </w:p>
        </w:tc>
        <w:tc>
          <w:tcPr>
            <w:tcW w:w="92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Generic</w:t>
            </w:r>
          </w:p>
        </w:tc>
        <w:tc>
          <w:tcPr>
            <w:tcW w:w="87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Non-generic</w:t>
            </w:r>
          </w:p>
        </w:tc>
        <w:tc>
          <w:tcPr>
            <w:tcW w:w="91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Specific</w:t>
            </w:r>
          </w:p>
        </w:tc>
        <w:tc>
          <w:tcPr>
            <w:tcW w:w="88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Non-specific</w:t>
            </w:r>
          </w:p>
        </w:tc>
        <w:tc>
          <w:tcPr>
            <w:tcW w:w="93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Definite ref.</w:t>
            </w:r>
          </w:p>
        </w:tc>
        <w:tc>
          <w:tcPr>
            <w:tcW w:w="90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Non-definite ref.</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AP</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199</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140</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BBC</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194</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137</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63</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Bloomberg</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168</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32</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CNBC</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147</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53</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CNN</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190</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159</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41</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NY Times</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199</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129</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71</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Reuters</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129</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71</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The Guardian</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199</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129</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71</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The Telegraph</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114</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86</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r>
        <w:trPr/>
        <w:tc>
          <w:tcPr>
            <w:tcW w:w="11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Wall Street Journal</w:t>
            </w:r>
          </w:p>
        </w:tc>
        <w:tc>
          <w:tcPr>
            <w:tcW w:w="7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w:t>
            </w:r>
          </w:p>
        </w:tc>
        <w:tc>
          <w:tcPr>
            <w:tcW w:w="8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200</w:t>
            </w:r>
          </w:p>
        </w:tc>
        <w:tc>
          <w:tcPr>
            <w:tcW w:w="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150</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50</w:t>
            </w:r>
          </w:p>
        </w:tc>
        <w:tc>
          <w:tcPr>
            <w:tcW w:w="9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r>
    </w:tbl>
    <w:p>
      <w:pPr>
        <w:pStyle w:val="Normal"/>
        <w:keepNext w:val="true"/>
        <w:spacing w:lineRule="auto" w:line="240" w:before="280" w:after="160"/>
        <w:rPr/>
      </w:pPr>
      <w:r>
        <w:rPr>
          <w:rFonts w:cs="Times New Roman" w:ascii="Times New Roman" w:hAnsi="Times New Roman"/>
          <w:b/>
        </w:rPr>
        <w:t>Figure 7:</w:t>
      </w:r>
      <w:r>
        <w:rPr>
          <w:rFonts w:cs="Times New Roman" w:ascii="Times New Roman" w:hAnsi="Times New Roman"/>
        </w:rPr>
        <w:t xml:space="preserve"> Specific and Non-Specific Reference by Outlet</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4826000" cy="2125345"/>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4"/>
                    <a:srcRect l="-7" t="-17" r="-7" b="-17"/>
                    <a:stretch>
                      <a:fillRect/>
                    </a:stretch>
                  </pic:blipFill>
                  <pic:spPr bwMode="auto">
                    <a:xfrm>
                      <a:off x="0" y="0"/>
                      <a:ext cx="4826000" cy="2125345"/>
                    </a:xfrm>
                    <a:prstGeom prst="rect">
                      <a:avLst/>
                    </a:prstGeom>
                    <a:noFill/>
                  </pic:spPr>
                </pic:pic>
              </a:graphicData>
            </a:graphic>
          </wp:inline>
        </w:drawing>
      </w:r>
    </w:p>
    <w:p>
      <w:pPr>
        <w:pStyle w:val="Normal"/>
        <w:spacing w:lineRule="auto" w:line="240" w:before="0" w:after="0"/>
        <w:rPr/>
      </w:pPr>
      <w:r>
        <w:rPr>
          <w:rFonts w:cs="Times New Roman" w:ascii="Times New Roman" w:hAnsi="Times New Roman"/>
          <w:i/>
          <w:sz w:val="24"/>
          <w:szCs w:val="24"/>
        </w:rPr>
        <w:t xml:space="preserve">Note. </w:t>
      </w:r>
      <w:r>
        <w:rPr>
          <w:rFonts w:cs="Times New Roman" w:ascii="Times New Roman" w:hAnsi="Times New Roman"/>
          <w:sz w:val="24"/>
          <w:szCs w:val="24"/>
        </w:rPr>
        <w:t>The figure shows outlet-level variation in specific and non-specific reference. Specific reference denotes particular entities, events, indicators, institutions, or amounts, whereas non-specific reference denotes hypothetical, abstract, evaluative, or less concrete meanings. Specific reference is dominant in most outlets, although the size of the difference varies.</w:t>
      </w:r>
    </w:p>
    <w:p>
      <w:pPr>
        <w:pStyle w:val="Heading2"/>
        <w:spacing w:lineRule="auto" w:line="240" w:before="280" w:after="0"/>
        <w:ind w:hanging="0" w:start="0"/>
        <w:rPr>
          <w:rFonts w:ascii="Times New Roman" w:hAnsi="Times New Roman" w:cs="Times New Roman"/>
        </w:rPr>
      </w:pPr>
      <w:r>
        <w:rPr>
          <w:rFonts w:eastAsia="Times New Roman" w:cs="Times New Roman" w:ascii="Times New Roman" w:hAnsi="Times New Roman"/>
          <w:sz w:val="32"/>
        </w:rPr>
        <w:t>4.5 Reliability and Statistical Tests</w:t>
      </w:r>
    </w:p>
    <w:p>
      <w:pPr>
        <w:pStyle w:val="Normal"/>
        <w:spacing w:lineRule="auto" w:line="240" w:before="0" w:after="0"/>
        <w:ind w:firstLine="567" w:end="0"/>
        <w:jc w:val="both"/>
        <w:rPr/>
      </w:pPr>
      <w:r>
        <w:rPr>
          <w:rFonts w:cs="Times New Roman" w:ascii="Times New Roman" w:hAnsi="Times New Roman"/>
          <w:sz w:val="28"/>
          <w:szCs w:val="28"/>
        </w:rPr>
        <w:t>Inter-coder reliability was strong. Pairwise similarity reached 96.50% for Intercoder 1 versus Intercoder 2, 95.83% for Intercoder 1 versus Intercoder 3, and 96.33% for Intercoder 2 versus Intercoder 3. Overall kappa values were high, showing that the coding framework was applied consistently. The strongest agreement appeared in definiteness because article type provided a clear structural cue, while specificity and genericity required more contextual judgment.</w:t>
      </w:r>
    </w:p>
    <w:p>
      <w:pPr>
        <w:pStyle w:val="Normal"/>
        <w:keepNext w:val="true"/>
        <w:spacing w:lineRule="auto" w:line="240" w:before="280" w:after="160"/>
        <w:rPr/>
      </w:pPr>
      <w:r>
        <w:rPr>
          <w:rFonts w:cs="Times New Roman" w:ascii="Times New Roman" w:hAnsi="Times New Roman"/>
          <w:b/>
        </w:rPr>
        <w:t>Table 9:</w:t>
      </w:r>
      <w:r>
        <w:rPr/>
        <w:t xml:space="preserve"> Pairwise Inter-Coder Similarity and Overall Kappa</w:t>
      </w:r>
    </w:p>
    <w:tbl>
      <w:tblPr>
        <w:tblW w:w="9222" w:type="dxa"/>
        <w:jc w:val="center"/>
        <w:tblInd w:w="0" w:type="dxa"/>
        <w:tblLayout w:type="fixed"/>
        <w:tblCellMar>
          <w:top w:w="45" w:type="dxa"/>
          <w:start w:w="50" w:type="dxa"/>
          <w:bottom w:w="45" w:type="dxa"/>
          <w:end w:w="50" w:type="dxa"/>
        </w:tblCellMar>
      </w:tblPr>
      <w:tblGrid>
        <w:gridCol w:w="1864"/>
        <w:gridCol w:w="1799"/>
        <w:gridCol w:w="1856"/>
        <w:gridCol w:w="1871"/>
        <w:gridCol w:w="1832"/>
      </w:tblGrid>
      <w:tr>
        <w:trPr>
          <w:tblHeader w:val="true"/>
        </w:trPr>
        <w:tc>
          <w:tcPr>
            <w:tcW w:w="1864"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Pair</w:t>
            </w:r>
          </w:p>
        </w:tc>
        <w:tc>
          <w:tcPr>
            <w:tcW w:w="179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Same cells</w:t>
            </w:r>
          </w:p>
        </w:tc>
        <w:tc>
          <w:tcPr>
            <w:tcW w:w="1856"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Different cells</w:t>
            </w:r>
          </w:p>
        </w:tc>
        <w:tc>
          <w:tcPr>
            <w:tcW w:w="1871"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Similarity (%)</w:t>
            </w:r>
          </w:p>
        </w:tc>
        <w:tc>
          <w:tcPr>
            <w:tcW w:w="1832"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Overall kappa</w:t>
            </w:r>
          </w:p>
        </w:tc>
      </w:tr>
      <w:tr>
        <w:trPr/>
        <w:tc>
          <w:tcPr>
            <w:tcW w:w="1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Intercoder 1 vs Intercoder 2</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579</w:t>
            </w:r>
          </w:p>
        </w:tc>
        <w:tc>
          <w:tcPr>
            <w:tcW w:w="18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21</w:t>
            </w:r>
          </w:p>
        </w:tc>
        <w:tc>
          <w:tcPr>
            <w:tcW w:w="18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96.50</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0.956</w:t>
            </w:r>
          </w:p>
        </w:tc>
      </w:tr>
      <w:tr>
        <w:trPr/>
        <w:tc>
          <w:tcPr>
            <w:tcW w:w="1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Intercoder 1 vs Intercoder 3</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575</w:t>
            </w:r>
          </w:p>
        </w:tc>
        <w:tc>
          <w:tcPr>
            <w:tcW w:w="18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25</w:t>
            </w:r>
          </w:p>
        </w:tc>
        <w:tc>
          <w:tcPr>
            <w:tcW w:w="18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95.83</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0.947</w:t>
            </w:r>
          </w:p>
        </w:tc>
      </w:tr>
      <w:tr>
        <w:trPr/>
        <w:tc>
          <w:tcPr>
            <w:tcW w:w="1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Intercoder 2 vs Intercoder 3</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578</w:t>
            </w:r>
          </w:p>
        </w:tc>
        <w:tc>
          <w:tcPr>
            <w:tcW w:w="18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22</w:t>
            </w:r>
          </w:p>
        </w:tc>
        <w:tc>
          <w:tcPr>
            <w:tcW w:w="18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96.33</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0.954</w:t>
            </w:r>
          </w:p>
        </w:tc>
      </w:tr>
    </w:tbl>
    <w:p>
      <w:pPr>
        <w:pStyle w:val="Normal"/>
        <w:keepNext w:val="true"/>
        <w:spacing w:lineRule="auto" w:line="240" w:before="280" w:after="160"/>
        <w:rPr/>
      </w:pPr>
      <w:r>
        <w:rPr>
          <w:rFonts w:cs="Times New Roman" w:ascii="Times New Roman" w:hAnsi="Times New Roman"/>
          <w:b/>
        </w:rPr>
        <w:t>Table 10:</w:t>
      </w:r>
      <w:r>
        <w:rPr/>
        <w:t xml:space="preserve"> Fleiss' Kappa by Semantic Dimension</w:t>
      </w:r>
    </w:p>
    <w:tbl>
      <w:tblPr>
        <w:tblW w:w="9222" w:type="dxa"/>
        <w:jc w:val="center"/>
        <w:tblInd w:w="0" w:type="dxa"/>
        <w:tblLayout w:type="fixed"/>
        <w:tblCellMar>
          <w:top w:w="45" w:type="dxa"/>
          <w:start w:w="50" w:type="dxa"/>
          <w:bottom w:w="45" w:type="dxa"/>
          <w:end w:w="50" w:type="dxa"/>
        </w:tblCellMar>
      </w:tblPr>
      <w:tblGrid>
        <w:gridCol w:w="2335"/>
        <w:gridCol w:w="2255"/>
        <w:gridCol w:w="2316"/>
        <w:gridCol w:w="2316"/>
      </w:tblGrid>
      <w:tr>
        <w:trPr>
          <w:tblHeader w:val="true"/>
        </w:trPr>
        <w:tc>
          <w:tcPr>
            <w:tcW w:w="2335"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Dimension</w:t>
            </w:r>
          </w:p>
        </w:tc>
        <w:tc>
          <w:tcPr>
            <w:tcW w:w="2255"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Fleiss' kappa</w:t>
            </w:r>
          </w:p>
        </w:tc>
        <w:tc>
          <w:tcPr>
            <w:tcW w:w="2316"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Observed agreement</w:t>
            </w:r>
          </w:p>
        </w:tc>
        <w:tc>
          <w:tcPr>
            <w:tcW w:w="2316"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b/>
                <w:sz w:val="28"/>
                <w:szCs w:val="28"/>
              </w:rPr>
              <w:t>Expected agreement</w:t>
            </w:r>
          </w:p>
        </w:tc>
      </w:tr>
      <w:tr>
        <w:trPr/>
        <w:tc>
          <w:tcPr>
            <w:tcW w:w="23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Genericity</w:t>
            </w:r>
          </w:p>
        </w:tc>
        <w:tc>
          <w:tcPr>
            <w:tcW w:w="22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0.819</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0.953</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0.743</w:t>
            </w:r>
          </w:p>
        </w:tc>
      </w:tr>
      <w:tr>
        <w:trPr/>
        <w:tc>
          <w:tcPr>
            <w:tcW w:w="23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Specificity</w:t>
            </w:r>
          </w:p>
        </w:tc>
        <w:tc>
          <w:tcPr>
            <w:tcW w:w="22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0.825</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0.933</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0.618</w:t>
            </w:r>
          </w:p>
        </w:tc>
      </w:tr>
      <w:tr>
        <w:trPr/>
        <w:tc>
          <w:tcPr>
            <w:tcW w:w="23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Definiteness</w:t>
            </w:r>
          </w:p>
        </w:tc>
        <w:tc>
          <w:tcPr>
            <w:tcW w:w="22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1.00</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1.00</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0.500</w:t>
            </w:r>
          </w:p>
        </w:tc>
      </w:tr>
    </w:tbl>
    <w:p>
      <w:pPr>
        <w:pStyle w:val="Normal"/>
        <w:keepNext w:val="true"/>
        <w:spacing w:lineRule="auto" w:line="240" w:before="280" w:after="160"/>
        <w:rPr/>
      </w:pPr>
      <w:r>
        <w:rPr>
          <w:rFonts w:cs="Times New Roman" w:ascii="Times New Roman" w:hAnsi="Times New Roman"/>
          <w:b/>
        </w:rPr>
        <w:t>Figure 8:</w:t>
      </w:r>
      <w:r>
        <w:rPr>
          <w:rFonts w:cs="Times New Roman" w:ascii="Times New Roman" w:hAnsi="Times New Roman"/>
        </w:rPr>
        <w:t xml:space="preserve"> Pairwise Inter-Coder Similarity Across All Coding Cells</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240655" cy="219900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noChangeArrowheads="1"/>
                    </pic:cNvPicPr>
                  </pic:nvPicPr>
                  <pic:blipFill>
                    <a:blip r:embed="rId15"/>
                    <a:srcRect l="-7" t="-16" r="-7" b="-16"/>
                    <a:stretch>
                      <a:fillRect/>
                    </a:stretch>
                  </pic:blipFill>
                  <pic:spPr bwMode="auto">
                    <a:xfrm>
                      <a:off x="0" y="0"/>
                      <a:ext cx="5240655" cy="2199005"/>
                    </a:xfrm>
                    <a:prstGeom prst="rect">
                      <a:avLst/>
                    </a:prstGeom>
                    <a:noFill/>
                  </pic:spPr>
                </pic:pic>
              </a:graphicData>
            </a:graphic>
          </wp:inline>
        </w:drawing>
      </w:r>
    </w:p>
    <w:p>
      <w:pPr>
        <w:pStyle w:val="Normal"/>
        <w:spacing w:lineRule="auto" w:line="240" w:before="0" w:after="0"/>
        <w:rPr/>
      </w:pPr>
      <w:r>
        <w:rPr>
          <w:rFonts w:cs="Times New Roman" w:ascii="Times New Roman" w:hAnsi="Times New Roman"/>
          <w:i/>
        </w:rPr>
        <w:t xml:space="preserve">Note. </w:t>
      </w:r>
      <w:r>
        <w:rPr>
          <w:rFonts w:cs="Times New Roman" w:ascii="Times New Roman" w:hAnsi="Times New Roman"/>
        </w:rPr>
        <w:t>The figure shows pairwise similarity between the three anonymized intercoders across 600 coding cells in the reliability subset. Similarity is the percentage of coding decisions that match between two intercoders. The high percentages indicate consistent application of the semantic coding framework.</w:t>
      </w:r>
    </w:p>
    <w:p>
      <w:pPr>
        <w:pStyle w:val="Normal"/>
        <w:keepNext w:val="true"/>
        <w:spacing w:lineRule="auto" w:line="240" w:before="280" w:after="160"/>
        <w:rPr/>
      </w:pPr>
      <w:r>
        <w:rPr>
          <w:rFonts w:cs="Times New Roman" w:ascii="Times New Roman" w:hAnsi="Times New Roman"/>
          <w:b/>
        </w:rPr>
        <w:t>Figure 9:</w:t>
      </w:r>
      <w:r>
        <w:rPr>
          <w:rFonts w:cs="Times New Roman" w:ascii="Times New Roman" w:hAnsi="Times New Roman"/>
        </w:rPr>
        <w:t xml:space="preserve"> Inter-Coder Reliability by Semantic Dimension</w:t>
      </w:r>
    </w:p>
    <w:p>
      <w:pPr>
        <w:pStyle w:val="Normal"/>
        <w:keepNext w:val="true"/>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213350" cy="22123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a:srcRect l="-3" t="-8" r="-3" b="-8"/>
                    <a:stretch>
                      <a:fillRect/>
                    </a:stretch>
                  </pic:blipFill>
                  <pic:spPr bwMode="auto">
                    <a:xfrm>
                      <a:off x="0" y="0"/>
                      <a:ext cx="5213350" cy="2212340"/>
                    </a:xfrm>
                    <a:prstGeom prst="rect">
                      <a:avLst/>
                    </a:prstGeom>
                    <a:noFill/>
                  </pic:spPr>
                </pic:pic>
              </a:graphicData>
            </a:graphic>
          </wp:inline>
        </w:drawing>
      </w:r>
    </w:p>
    <w:p>
      <w:pPr>
        <w:pStyle w:val="Normal"/>
        <w:spacing w:lineRule="auto" w:line="240" w:before="0" w:after="0"/>
        <w:rPr>
          <w:rFonts w:ascii="Times New Roman" w:hAnsi="Times New Roman" w:cs="Times New Roman"/>
          <w:color w:val="000000"/>
          <w:sz w:val="24"/>
          <w:szCs w:val="24"/>
        </w:rPr>
      </w:pPr>
      <w:r>
        <w:rPr>
          <w:rFonts w:cs="Times New Roman" w:ascii="Times New Roman" w:hAnsi="Times New Roman"/>
          <w:i/>
          <w:sz w:val="24"/>
          <w:szCs w:val="24"/>
        </w:rPr>
        <w:t xml:space="preserve">Note. </w:t>
      </w:r>
      <w:r>
        <w:rPr>
          <w:rFonts w:cs="Times New Roman" w:ascii="Times New Roman" w:hAnsi="Times New Roman"/>
          <w:sz w:val="24"/>
          <w:szCs w:val="24"/>
        </w:rPr>
        <w:t>The figure shows Fleiss' kappa for genericity, specificity, and definiteness. Kappa evaluates observed agreement in relation to the degree of agreement expected by chance. Values above .80 indicate strong reliability, and definiteness achieves full agreement because of its structural alignment with the article-type sampling design.</w:t>
      </w:r>
    </w:p>
    <w:p>
      <w:pPr>
        <w:pStyle w:val="Normal"/>
        <w:spacing w:lineRule="auto" w:line="240" w:before="0" w:after="0"/>
        <w:ind w:firstLine="567" w:end="0"/>
        <w:jc w:val="both"/>
        <w:rPr/>
      </w:pPr>
      <w:r>
        <w:rPr>
          <w:rFonts w:cs="Times New Roman" w:ascii="Times New Roman" w:hAnsi="Times New Roman"/>
          <w:sz w:val="28"/>
          <w:szCs w:val="28"/>
        </w:rPr>
        <w:t>Chi-square tests confirm significant associations between article type and several semantic coding results. The strongest association appears between article type and definiteness because the sample distinguishes definite and indefinite article forms by design. The specificity and genericity tests are more analytically important because they show how article type interacts with semantic reference rather than simply marking a formal grammatical opposition.</w:t>
      </w:r>
    </w:p>
    <w:p>
      <w:pPr>
        <w:pStyle w:val="Normal"/>
        <w:keepNext w:val="true"/>
        <w:spacing w:lineRule="auto" w:line="240" w:before="280" w:after="160"/>
        <w:rPr/>
      </w:pPr>
      <w:r>
        <w:rPr>
          <w:rFonts w:cs="Times New Roman" w:ascii="Times New Roman" w:hAnsi="Times New Roman"/>
          <w:b/>
        </w:rPr>
        <w:t>Table 11:</w:t>
      </w:r>
      <w:r>
        <w:rPr/>
        <w:t xml:space="preserve"> Summary of Chi-Square Tests and Effect Sizes</w:t>
      </w:r>
    </w:p>
    <w:tbl>
      <w:tblPr>
        <w:tblW w:w="9222" w:type="dxa"/>
        <w:jc w:val="center"/>
        <w:tblInd w:w="0" w:type="dxa"/>
        <w:tblLayout w:type="fixed"/>
        <w:tblCellMar>
          <w:top w:w="45" w:type="dxa"/>
          <w:start w:w="50" w:type="dxa"/>
          <w:bottom w:w="45" w:type="dxa"/>
          <w:end w:w="50" w:type="dxa"/>
        </w:tblCellMar>
      </w:tblPr>
      <w:tblGrid>
        <w:gridCol w:w="1364"/>
        <w:gridCol w:w="1351"/>
        <w:gridCol w:w="1279"/>
        <w:gridCol w:w="1147"/>
        <w:gridCol w:w="1195"/>
        <w:gridCol w:w="1323"/>
        <w:gridCol w:w="1563"/>
      </w:tblGrid>
      <w:tr>
        <w:trPr>
          <w:tblHeader w:val="true"/>
        </w:trPr>
        <w:tc>
          <w:tcPr>
            <w:tcW w:w="1364"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Test</w:t>
            </w:r>
          </w:p>
        </w:tc>
        <w:tc>
          <w:tcPr>
            <w:tcW w:w="1351"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Categories</w:t>
            </w:r>
          </w:p>
        </w:tc>
        <w:tc>
          <w:tcPr>
            <w:tcW w:w="127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Chi-square</w:t>
            </w:r>
          </w:p>
        </w:tc>
        <w:tc>
          <w:tcPr>
            <w:tcW w:w="1147"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df</w:t>
            </w:r>
          </w:p>
        </w:tc>
        <w:tc>
          <w:tcPr>
            <w:tcW w:w="1195"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p</w:t>
            </w:r>
          </w:p>
        </w:tc>
        <w:tc>
          <w:tcPr>
            <w:tcW w:w="1323"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Cramer's V</w:t>
            </w:r>
          </w:p>
        </w:tc>
        <w:tc>
          <w:tcPr>
            <w:tcW w:w="1563"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b/>
                <w:sz w:val="24"/>
                <w:szCs w:val="24"/>
              </w:rPr>
              <w:t>Interpretation</w:t>
            </w:r>
          </w:p>
        </w:tc>
      </w:tr>
      <w:tr>
        <w:trPr/>
        <w:tc>
          <w:tcPr>
            <w:tcW w:w="13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Outlet x article category</w:t>
            </w:r>
          </w:p>
        </w:tc>
        <w:tc>
          <w:tcPr>
            <w:tcW w:w="13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the vs a/an</w:t>
            </w:r>
          </w:p>
        </w:tc>
        <w:tc>
          <w:tcPr>
            <w:tcW w:w="12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151.21</w:t>
            </w:r>
          </w:p>
        </w:tc>
        <w:tc>
          <w:tcPr>
            <w:tcW w:w="114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w:t>
            </w:r>
          </w:p>
        </w:tc>
        <w:tc>
          <w:tcPr>
            <w:tcW w:w="11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&lt; .001</w:t>
            </w:r>
          </w:p>
        </w:tc>
        <w:tc>
          <w:tcPr>
            <w:tcW w:w="13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.042</w:t>
            </w:r>
          </w:p>
        </w:tc>
        <w:tc>
          <w:tcPr>
            <w:tcW w:w="15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Significant outlet variation; small effect</w:t>
            </w:r>
          </w:p>
        </w:tc>
      </w:tr>
      <w:tr>
        <w:trPr/>
        <w:tc>
          <w:tcPr>
            <w:tcW w:w="13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Article type x definiteness</w:t>
            </w:r>
          </w:p>
        </w:tc>
        <w:tc>
          <w:tcPr>
            <w:tcW w:w="13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definite vs non-definite</w:t>
            </w:r>
          </w:p>
        </w:tc>
        <w:tc>
          <w:tcPr>
            <w:tcW w:w="12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1996.00</w:t>
            </w:r>
          </w:p>
        </w:tc>
        <w:tc>
          <w:tcPr>
            <w:tcW w:w="114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11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&lt; .001</w:t>
            </w:r>
          </w:p>
        </w:tc>
        <w:tc>
          <w:tcPr>
            <w:tcW w:w="13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.999</w:t>
            </w:r>
          </w:p>
        </w:tc>
        <w:tc>
          <w:tcPr>
            <w:tcW w:w="15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Perfect alignment in the coded sample</w:t>
            </w:r>
          </w:p>
        </w:tc>
      </w:tr>
      <w:tr>
        <w:trPr/>
        <w:tc>
          <w:tcPr>
            <w:tcW w:w="13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Article type x specificity</w:t>
            </w:r>
          </w:p>
        </w:tc>
        <w:tc>
          <w:tcPr>
            <w:tcW w:w="13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specific vs non-specific</w:t>
            </w:r>
          </w:p>
        </w:tc>
        <w:tc>
          <w:tcPr>
            <w:tcW w:w="12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387.43</w:t>
            </w:r>
          </w:p>
        </w:tc>
        <w:tc>
          <w:tcPr>
            <w:tcW w:w="114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11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&lt; .001</w:t>
            </w:r>
          </w:p>
        </w:tc>
        <w:tc>
          <w:tcPr>
            <w:tcW w:w="13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.440</w:t>
            </w:r>
          </w:p>
        </w:tc>
        <w:tc>
          <w:tcPr>
            <w:tcW w:w="15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Moderate association</w:t>
            </w:r>
          </w:p>
        </w:tc>
      </w:tr>
      <w:tr>
        <w:trPr/>
        <w:tc>
          <w:tcPr>
            <w:tcW w:w="13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Article type x genericity</w:t>
            </w:r>
          </w:p>
        </w:tc>
        <w:tc>
          <w:tcPr>
            <w:tcW w:w="13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pPr>
            <w:r>
              <w:rPr>
                <w:rFonts w:cs="Times New Roman" w:ascii="Times New Roman" w:hAnsi="Times New Roman"/>
                <w:sz w:val="24"/>
                <w:szCs w:val="24"/>
              </w:rPr>
              <w:t>generic vs non-generic</w:t>
            </w:r>
          </w:p>
        </w:tc>
        <w:tc>
          <w:tcPr>
            <w:tcW w:w="12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0.85</w:t>
            </w:r>
          </w:p>
        </w:tc>
        <w:tc>
          <w:tcPr>
            <w:tcW w:w="114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11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.357</w:t>
            </w:r>
          </w:p>
        </w:tc>
        <w:tc>
          <w:tcPr>
            <w:tcW w:w="13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.021</w:t>
            </w:r>
          </w:p>
        </w:tc>
        <w:tc>
          <w:tcPr>
            <w:tcW w:w="15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No meaningful article-type difference</w:t>
            </w:r>
          </w:p>
        </w:tc>
      </w:tr>
      <w:tr>
        <w:trPr/>
        <w:tc>
          <w:tcPr>
            <w:tcW w:w="13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Outlet x specificity</w:t>
            </w:r>
          </w:p>
        </w:tc>
        <w:tc>
          <w:tcPr>
            <w:tcW w:w="13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specific vs non-specific</w:t>
            </w:r>
          </w:p>
        </w:tc>
        <w:tc>
          <w:tcPr>
            <w:tcW w:w="12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55.86</w:t>
            </w:r>
          </w:p>
        </w:tc>
        <w:tc>
          <w:tcPr>
            <w:tcW w:w="114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w:t>
            </w:r>
          </w:p>
        </w:tc>
        <w:tc>
          <w:tcPr>
            <w:tcW w:w="11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&lt; .001</w:t>
            </w:r>
          </w:p>
        </w:tc>
        <w:tc>
          <w:tcPr>
            <w:tcW w:w="13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.167</w:t>
            </w:r>
          </w:p>
        </w:tc>
        <w:tc>
          <w:tcPr>
            <w:tcW w:w="15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Significant outlet variation; small-to-moderate effect</w:t>
            </w:r>
          </w:p>
        </w:tc>
      </w:tr>
      <w:tr>
        <w:trPr/>
        <w:tc>
          <w:tcPr>
            <w:tcW w:w="13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Outlet x genericity</w:t>
            </w:r>
          </w:p>
        </w:tc>
        <w:tc>
          <w:tcPr>
            <w:tcW w:w="13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generic vs non-generic</w:t>
            </w:r>
          </w:p>
        </w:tc>
        <w:tc>
          <w:tcPr>
            <w:tcW w:w="12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54.68</w:t>
            </w:r>
          </w:p>
        </w:tc>
        <w:tc>
          <w:tcPr>
            <w:tcW w:w="114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w:t>
            </w:r>
          </w:p>
        </w:tc>
        <w:tc>
          <w:tcPr>
            <w:tcW w:w="11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&lt; .001</w:t>
            </w:r>
          </w:p>
        </w:tc>
        <w:tc>
          <w:tcPr>
            <w:tcW w:w="13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.165</w:t>
            </w:r>
          </w:p>
        </w:tc>
        <w:tc>
          <w:tcPr>
            <w:tcW w:w="15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Significant but interpreted cautiously because generic cases are rare</w:t>
            </w:r>
          </w:p>
        </w:tc>
      </w:tr>
    </w:tbl>
    <w:p>
      <w:pPr>
        <w:pStyle w:val="Heading1"/>
        <w:spacing w:lineRule="auto" w:line="240" w:before="280" w:after="0"/>
        <w:ind w:hanging="0" w:start="0"/>
        <w:jc w:val="center"/>
        <w:rPr>
          <w:rFonts w:ascii="Times New Roman" w:hAnsi="Times New Roman" w:cs="Times New Roman"/>
        </w:rPr>
      </w:pPr>
      <w:r>
        <w:rPr>
          <w:rFonts w:eastAsia="Times New Roman" w:cs="Times New Roman" w:ascii="Times New Roman" w:hAnsi="Times New Roman"/>
          <w:sz w:val="32"/>
        </w:rPr>
        <w:t>5. Discussion</w:t>
      </w:r>
    </w:p>
    <w:p>
      <w:pPr>
        <w:pStyle w:val="Normal"/>
        <w:spacing w:lineRule="auto" w:line="240" w:before="0" w:after="0"/>
        <w:ind w:firstLine="567" w:end="0"/>
        <w:jc w:val="both"/>
        <w:rPr/>
      </w:pPr>
      <w:r>
        <w:rPr>
          <w:rFonts w:cs="Times New Roman" w:ascii="Times New Roman" w:hAnsi="Times New Roman"/>
          <w:sz w:val="28"/>
          <w:szCs w:val="28"/>
        </w:rPr>
        <w:t xml:space="preserve">The findings indicate that the most common overt article form in English economic news is the definite article </w:t>
      </w:r>
      <w:r>
        <w:rPr>
          <w:rFonts w:cs="Times New Roman" w:ascii="Times New Roman" w:hAnsi="Times New Roman"/>
          <w:i/>
          <w:sz w:val="28"/>
          <w:szCs w:val="28"/>
        </w:rPr>
        <w:t>the</w:t>
      </w:r>
      <w:r>
        <w:rPr>
          <w:rFonts w:cs="Times New Roman" w:ascii="Times New Roman" w:hAnsi="Times New Roman"/>
          <w:sz w:val="28"/>
          <w:szCs w:val="28"/>
        </w:rPr>
        <w:t xml:space="preserve">. This dominance reflects the communicative requirements of the register. Economic journalists frequently refer to institutions, indexes, markets, policies, and public entities that are assumed to be identifiable to the reader. Expressions such as </w:t>
      </w:r>
      <w:r>
        <w:rPr>
          <w:rFonts w:cs="Times New Roman" w:ascii="Times New Roman" w:hAnsi="Times New Roman"/>
          <w:i/>
          <w:sz w:val="28"/>
          <w:szCs w:val="28"/>
        </w:rPr>
        <w:t>the economy</w:t>
      </w:r>
      <w:r>
        <w:rPr>
          <w:rFonts w:cs="Times New Roman" w:ascii="Times New Roman" w:hAnsi="Times New Roman"/>
          <w:sz w:val="28"/>
          <w:szCs w:val="28"/>
        </w:rPr>
        <w:t xml:space="preserve">, </w:t>
      </w:r>
      <w:r>
        <w:rPr>
          <w:rFonts w:cs="Times New Roman" w:ascii="Times New Roman" w:hAnsi="Times New Roman"/>
          <w:i/>
          <w:sz w:val="28"/>
          <w:szCs w:val="28"/>
        </w:rPr>
        <w:t>the market</w:t>
      </w:r>
      <w:r>
        <w:rPr>
          <w:rFonts w:cs="Times New Roman" w:ascii="Times New Roman" w:hAnsi="Times New Roman"/>
          <w:sz w:val="28"/>
          <w:szCs w:val="28"/>
        </w:rPr>
        <w:t xml:space="preserve">, </w:t>
      </w:r>
      <w:r>
        <w:rPr>
          <w:rFonts w:cs="Times New Roman" w:ascii="Times New Roman" w:hAnsi="Times New Roman"/>
          <w:i/>
          <w:sz w:val="28"/>
          <w:szCs w:val="28"/>
        </w:rPr>
        <w:t>the Federal Reserve</w:t>
      </w:r>
      <w:r>
        <w:rPr>
          <w:rFonts w:cs="Times New Roman" w:ascii="Times New Roman" w:hAnsi="Times New Roman"/>
          <w:sz w:val="28"/>
          <w:szCs w:val="28"/>
        </w:rPr>
        <w:t xml:space="preserve">, </w:t>
      </w:r>
      <w:r>
        <w:rPr>
          <w:rFonts w:cs="Times New Roman" w:ascii="Times New Roman" w:hAnsi="Times New Roman"/>
          <w:i/>
          <w:sz w:val="28"/>
          <w:szCs w:val="28"/>
        </w:rPr>
        <w:t>the government</w:t>
      </w:r>
      <w:r>
        <w:rPr>
          <w:rFonts w:cs="Times New Roman" w:ascii="Times New Roman" w:hAnsi="Times New Roman"/>
          <w:sz w:val="28"/>
          <w:szCs w:val="28"/>
        </w:rPr>
        <w:t xml:space="preserve">, and </w:t>
      </w:r>
      <w:r>
        <w:rPr>
          <w:rFonts w:cs="Times New Roman" w:ascii="Times New Roman" w:hAnsi="Times New Roman"/>
          <w:i/>
          <w:sz w:val="28"/>
          <w:szCs w:val="28"/>
        </w:rPr>
        <w:t>the inflation rate</w:t>
      </w:r>
      <w:r>
        <w:rPr>
          <w:rFonts w:cs="Times New Roman" w:ascii="Times New Roman" w:hAnsi="Times New Roman"/>
          <w:sz w:val="28"/>
          <w:szCs w:val="28"/>
        </w:rPr>
        <w:t xml:space="preserve"> are not merely grammatical noun phrases; they are discourse strategies that present economic entities as identifiable and relevant in the news context.</w:t>
      </w:r>
    </w:p>
    <w:p>
      <w:pPr>
        <w:pStyle w:val="Normal"/>
        <w:spacing w:lineRule="auto" w:line="240" w:before="0" w:after="0"/>
        <w:ind w:firstLine="567" w:end="0"/>
        <w:jc w:val="both"/>
        <w:rPr/>
      </w:pPr>
      <w:r>
        <w:rPr>
          <w:rFonts w:cs="Times New Roman" w:ascii="Times New Roman" w:hAnsi="Times New Roman"/>
          <w:sz w:val="28"/>
          <w:szCs w:val="28"/>
        </w:rPr>
        <w:t>This result is consistent with definiteness theories that link identifiability and shared knowledge (</w:t>
      </w:r>
      <w:hyperlink w:anchor="Gundel_1993">
        <w:r>
          <w:rPr>
            <w:rStyle w:val="Hyperlink"/>
            <w:rFonts w:cs="Times New Roman" w:ascii="Times New Roman" w:hAnsi="Times New Roman"/>
            <w:sz w:val="28"/>
            <w:szCs w:val="28"/>
          </w:rPr>
          <w:t>Gundel et al., 1993</w:t>
        </w:r>
      </w:hyperlink>
      <w:r>
        <w:rPr>
          <w:rFonts w:cs="Times New Roman" w:ascii="Times New Roman" w:hAnsi="Times New Roman"/>
          <w:sz w:val="28"/>
          <w:szCs w:val="28"/>
        </w:rPr>
        <w:t xml:space="preserve">; </w:t>
      </w:r>
      <w:hyperlink w:anchor="Hawkins_1978">
        <w:r>
          <w:rPr>
            <w:rStyle w:val="Hyperlink"/>
            <w:rFonts w:cs="Times New Roman" w:ascii="Times New Roman" w:hAnsi="Times New Roman"/>
            <w:sz w:val="28"/>
            <w:szCs w:val="28"/>
          </w:rPr>
          <w:t>Hawkins, 1978</w:t>
        </w:r>
      </w:hyperlink>
      <w:r>
        <w:rPr>
          <w:rFonts w:cs="Times New Roman" w:ascii="Times New Roman" w:hAnsi="Times New Roman"/>
          <w:sz w:val="28"/>
          <w:szCs w:val="28"/>
        </w:rPr>
        <w:t xml:space="preserve">; </w:t>
      </w:r>
      <w:hyperlink w:anchor="Lyons_1999">
        <w:r>
          <w:rPr>
            <w:rStyle w:val="Hyperlink"/>
            <w:rFonts w:cs="Times New Roman" w:ascii="Times New Roman" w:hAnsi="Times New Roman"/>
            <w:sz w:val="28"/>
            <w:szCs w:val="28"/>
          </w:rPr>
          <w:t>Lyons, 1999</w:t>
        </w:r>
      </w:hyperlink>
      <w:r>
        <w:rPr>
          <w:rFonts w:cs="Times New Roman" w:ascii="Times New Roman" w:hAnsi="Times New Roman"/>
          <w:sz w:val="28"/>
          <w:szCs w:val="28"/>
        </w:rPr>
        <w:t xml:space="preserve">). In economic reporting, identifiability often comes from institutional knowledge rather than previous mention. Readers of economic news are expected to understand the domain, so a journalist can mention </w:t>
      </w:r>
      <w:r>
        <w:rPr>
          <w:rFonts w:cs="Times New Roman" w:ascii="Times New Roman" w:hAnsi="Times New Roman"/>
          <w:i/>
          <w:sz w:val="28"/>
          <w:szCs w:val="28"/>
        </w:rPr>
        <w:t>the market</w:t>
      </w:r>
      <w:r>
        <w:rPr>
          <w:rFonts w:cs="Times New Roman" w:ascii="Times New Roman" w:hAnsi="Times New Roman"/>
          <w:sz w:val="28"/>
          <w:szCs w:val="28"/>
        </w:rPr>
        <w:t xml:space="preserve"> or </w:t>
      </w:r>
      <w:r>
        <w:rPr>
          <w:rFonts w:cs="Times New Roman" w:ascii="Times New Roman" w:hAnsi="Times New Roman"/>
          <w:i/>
          <w:sz w:val="28"/>
          <w:szCs w:val="28"/>
        </w:rPr>
        <w:t>the central bank</w:t>
      </w:r>
      <w:r>
        <w:rPr>
          <w:rFonts w:cs="Times New Roman" w:ascii="Times New Roman" w:hAnsi="Times New Roman"/>
          <w:sz w:val="28"/>
          <w:szCs w:val="28"/>
        </w:rPr>
        <w:t xml:space="preserve"> without first introducing the referent. This explains why </w:t>
      </w:r>
      <w:r>
        <w:rPr>
          <w:rFonts w:cs="Times New Roman" w:ascii="Times New Roman" w:hAnsi="Times New Roman"/>
          <w:i/>
          <w:sz w:val="28"/>
          <w:szCs w:val="28"/>
        </w:rPr>
        <w:t>the</w:t>
      </w:r>
      <w:r>
        <w:rPr>
          <w:rFonts w:cs="Times New Roman" w:ascii="Times New Roman" w:hAnsi="Times New Roman"/>
          <w:sz w:val="28"/>
          <w:szCs w:val="28"/>
        </w:rPr>
        <w:t xml:space="preserve"> is much more frequent than </w:t>
      </w:r>
      <w:r>
        <w:rPr>
          <w:rFonts w:cs="Times New Roman" w:ascii="Times New Roman" w:hAnsi="Times New Roman"/>
          <w:i/>
          <w:sz w:val="28"/>
          <w:szCs w:val="28"/>
        </w:rPr>
        <w:t>a/an</w:t>
      </w:r>
      <w:r>
        <w:rPr>
          <w:rFonts w:cs="Times New Roman" w:ascii="Times New Roman" w:hAnsi="Times New Roman"/>
          <w:sz w:val="28"/>
          <w:szCs w:val="28"/>
        </w:rPr>
        <w:t xml:space="preserve"> across all ten outlets.</w:t>
      </w:r>
    </w:p>
    <w:p>
      <w:pPr>
        <w:pStyle w:val="Normal"/>
        <w:spacing w:lineRule="auto" w:line="240" w:before="0" w:after="0"/>
        <w:ind w:firstLine="567" w:end="0"/>
        <w:jc w:val="both"/>
        <w:rPr/>
      </w:pPr>
      <w:r>
        <w:rPr>
          <w:rFonts w:cs="Times New Roman" w:ascii="Times New Roman" w:hAnsi="Times New Roman"/>
          <w:sz w:val="28"/>
          <w:szCs w:val="28"/>
        </w:rPr>
        <w:t>The semantic results also demonstrate the importance of specificity in economic-news discourse. Most sampled noun phrases refer to particular events, institutions, indicators, reports, dates, amounts, or financial situations. This supports the distinction between definiteness and specificity (</w:t>
      </w:r>
      <w:hyperlink w:anchor="Fodor_Sag_1982">
        <w:r>
          <w:rPr>
            <w:rStyle w:val="Hyperlink"/>
            <w:rFonts w:cs="Times New Roman" w:ascii="Times New Roman" w:hAnsi="Times New Roman"/>
            <w:sz w:val="28"/>
            <w:szCs w:val="28"/>
          </w:rPr>
          <w:t>Fodor &amp; Sag, 1982</w:t>
        </w:r>
      </w:hyperlink>
      <w:r>
        <w:rPr>
          <w:rFonts w:cs="Times New Roman" w:ascii="Times New Roman" w:hAnsi="Times New Roman"/>
          <w:sz w:val="28"/>
          <w:szCs w:val="28"/>
        </w:rPr>
        <w:t xml:space="preserve">; </w:t>
      </w:r>
      <w:hyperlink w:anchor="Heim_1982">
        <w:r>
          <w:rPr>
            <w:rStyle w:val="Hyperlink"/>
            <w:rFonts w:cs="Times New Roman" w:ascii="Times New Roman" w:hAnsi="Times New Roman"/>
            <w:sz w:val="28"/>
            <w:szCs w:val="28"/>
          </w:rPr>
          <w:t>Heim, 1982</w:t>
        </w:r>
      </w:hyperlink>
      <w:r>
        <w:rPr>
          <w:rFonts w:cs="Times New Roman" w:ascii="Times New Roman" w:hAnsi="Times New Roman"/>
          <w:sz w:val="28"/>
          <w:szCs w:val="28"/>
        </w:rPr>
        <w:t xml:space="preserve">; </w:t>
      </w:r>
      <w:hyperlink w:anchor="von_Heusinger_2002">
        <w:r>
          <w:rPr>
            <w:rStyle w:val="Hyperlink"/>
            <w:rFonts w:cs="Times New Roman" w:ascii="Times New Roman" w:hAnsi="Times New Roman"/>
            <w:sz w:val="28"/>
            <w:szCs w:val="28"/>
          </w:rPr>
          <w:t>von Heusinger, 2002</w:t>
        </w:r>
      </w:hyperlink>
      <w:r>
        <w:rPr>
          <w:rFonts w:cs="Times New Roman" w:ascii="Times New Roman" w:hAnsi="Times New Roman"/>
          <w:sz w:val="28"/>
          <w:szCs w:val="28"/>
        </w:rPr>
        <w:t xml:space="preserve">). Although definite noun phrases are strongly associated with specific reference, indefinite noun phrases are not automatically non-specific. Examples such as </w:t>
      </w:r>
      <w:r>
        <w:rPr>
          <w:rFonts w:cs="Times New Roman" w:ascii="Times New Roman" w:hAnsi="Times New Roman"/>
          <w:i/>
          <w:sz w:val="28"/>
          <w:szCs w:val="28"/>
        </w:rPr>
        <w:t>a new report</w:t>
      </w:r>
      <w:r>
        <w:rPr>
          <w:rFonts w:cs="Times New Roman" w:ascii="Times New Roman" w:hAnsi="Times New Roman"/>
          <w:sz w:val="28"/>
          <w:szCs w:val="28"/>
        </w:rPr>
        <w:t xml:space="preserve"> or </w:t>
      </w:r>
      <w:r>
        <w:rPr>
          <w:rFonts w:cs="Times New Roman" w:ascii="Times New Roman" w:hAnsi="Times New Roman"/>
          <w:i/>
          <w:sz w:val="28"/>
          <w:szCs w:val="28"/>
        </w:rPr>
        <w:t>an increase</w:t>
      </w:r>
      <w:r>
        <w:rPr>
          <w:rFonts w:cs="Times New Roman" w:ascii="Times New Roman" w:hAnsi="Times New Roman"/>
          <w:sz w:val="28"/>
          <w:szCs w:val="28"/>
        </w:rPr>
        <w:t xml:space="preserve"> can introduce new but still specific referents.</w:t>
      </w:r>
    </w:p>
    <w:p>
      <w:pPr>
        <w:pStyle w:val="Normal"/>
        <w:spacing w:lineRule="auto" w:line="240" w:before="0" w:after="0"/>
        <w:ind w:firstLine="567" w:end="0"/>
        <w:jc w:val="both"/>
        <w:rPr/>
      </w:pPr>
      <w:r>
        <w:rPr>
          <w:rFonts w:cs="Times New Roman" w:ascii="Times New Roman" w:hAnsi="Times New Roman"/>
          <w:sz w:val="28"/>
          <w:szCs w:val="28"/>
        </w:rPr>
        <w:t>One of the clearest findings is the very low level of genericity. Only 19 of the 2,000 samples are generic references. This suggests that economic news prioritizes reporting context-bound developments rather than making broad class-level claims. Even apparently general terms often function as non-generic references when tied to a particular economy, market movement, policy decision, or data release. This finding extends earlier discussions of genericity by showing that professional economic journalism strongly prefers event-based reference over class-level generalization (</w:t>
      </w:r>
      <w:hyperlink w:anchor="Carlson_1977">
        <w:r>
          <w:rPr>
            <w:rStyle w:val="Hyperlink"/>
            <w:rFonts w:cs="Times New Roman" w:ascii="Times New Roman" w:hAnsi="Times New Roman"/>
            <w:sz w:val="28"/>
            <w:szCs w:val="28"/>
          </w:rPr>
          <w:t>Carlson, 1977</w:t>
        </w:r>
      </w:hyperlink>
      <w:r>
        <w:rPr>
          <w:rFonts w:cs="Times New Roman" w:ascii="Times New Roman" w:hAnsi="Times New Roman"/>
          <w:sz w:val="28"/>
          <w:szCs w:val="28"/>
        </w:rPr>
        <w:t xml:space="preserve">; </w:t>
      </w:r>
      <w:hyperlink w:anchor="Chierchia_1998">
        <w:r>
          <w:rPr>
            <w:rStyle w:val="Hyperlink"/>
            <w:rFonts w:cs="Times New Roman" w:ascii="Times New Roman" w:hAnsi="Times New Roman"/>
            <w:sz w:val="28"/>
            <w:szCs w:val="28"/>
          </w:rPr>
          <w:t>Chierchia, 1998</w:t>
        </w:r>
      </w:hyperlink>
      <w:r>
        <w:rPr>
          <w:rFonts w:cs="Times New Roman" w:ascii="Times New Roman" w:hAnsi="Times New Roman"/>
          <w:sz w:val="28"/>
          <w:szCs w:val="28"/>
        </w:rPr>
        <w:t xml:space="preserve">; </w:t>
      </w:r>
      <w:hyperlink w:anchor="Krifka_1995">
        <w:r>
          <w:rPr>
            <w:rStyle w:val="Hyperlink"/>
            <w:rFonts w:cs="Times New Roman" w:ascii="Times New Roman" w:hAnsi="Times New Roman"/>
            <w:sz w:val="28"/>
            <w:szCs w:val="28"/>
          </w:rPr>
          <w:t>Krifka et al., 1995</w:t>
        </w:r>
      </w:hyperlink>
      <w:r>
        <w:rPr>
          <w:rFonts w:cs="Times New Roman" w:ascii="Times New Roman" w:hAnsi="Times New Roman"/>
          <w:sz w:val="28"/>
          <w:szCs w:val="28"/>
        </w:rPr>
        <w:t>).</w:t>
      </w:r>
    </w:p>
    <w:p>
      <w:pPr>
        <w:pStyle w:val="Normal"/>
        <w:spacing w:lineRule="auto" w:line="240" w:before="0" w:after="0"/>
        <w:ind w:firstLine="567" w:end="0"/>
        <w:jc w:val="both"/>
        <w:rPr/>
      </w:pPr>
      <w:r>
        <w:rPr>
          <w:rFonts w:cs="Times New Roman" w:ascii="Times New Roman" w:hAnsi="Times New Roman"/>
          <w:sz w:val="28"/>
          <w:szCs w:val="28"/>
        </w:rPr>
        <w:t xml:space="preserve">Although outlet variation exists, it does not reverse the overall pattern. Every outlet shows the same broad tendency: </w:t>
      </w:r>
      <w:r>
        <w:rPr>
          <w:rFonts w:cs="Times New Roman" w:ascii="Times New Roman" w:hAnsi="Times New Roman"/>
          <w:i/>
          <w:sz w:val="28"/>
          <w:szCs w:val="28"/>
        </w:rPr>
        <w:t>the</w:t>
      </w:r>
      <w:r>
        <w:rPr>
          <w:rFonts w:cs="Times New Roman" w:ascii="Times New Roman" w:hAnsi="Times New Roman"/>
          <w:sz w:val="28"/>
          <w:szCs w:val="28"/>
        </w:rPr>
        <w:t xml:space="preserve"> is more frequent than </w:t>
      </w:r>
      <w:r>
        <w:rPr>
          <w:rFonts w:cs="Times New Roman" w:ascii="Times New Roman" w:hAnsi="Times New Roman"/>
          <w:i/>
          <w:sz w:val="28"/>
          <w:szCs w:val="28"/>
        </w:rPr>
        <w:t>a/an</w:t>
      </w:r>
      <w:r>
        <w:rPr>
          <w:rFonts w:cs="Times New Roman" w:ascii="Times New Roman" w:hAnsi="Times New Roman"/>
          <w:sz w:val="28"/>
          <w:szCs w:val="28"/>
        </w:rPr>
        <w:t>, specific reference is more frequent than non-specific reference, and non-generic reference dominates. Outlet differences are therefore best interpreted as editorial and stylistic variation within a shared register. Financial outlets such as Bloomberg, Reuters, and The Wall Street Journal may emphasize highly specific market or institutional references, while general news outlets may include somewhat broader explanatory framing.</w:t>
      </w:r>
    </w:p>
    <w:p>
      <w:pPr>
        <w:pStyle w:val="Normal"/>
        <w:spacing w:lineRule="auto" w:line="240" w:before="0" w:after="0"/>
        <w:ind w:firstLine="567" w:end="0"/>
        <w:jc w:val="both"/>
        <w:rPr/>
      </w:pPr>
      <w:r>
        <w:rPr>
          <w:rFonts w:cs="Times New Roman" w:ascii="Times New Roman" w:hAnsi="Times New Roman"/>
          <w:sz w:val="28"/>
          <w:szCs w:val="28"/>
        </w:rPr>
        <w:t xml:space="preserve">Methodologically, the study shows the value of combining corpus frequency with semantic coding. Frequency counts alone show that </w:t>
      </w:r>
      <w:r>
        <w:rPr>
          <w:rFonts w:cs="Times New Roman" w:ascii="Times New Roman" w:hAnsi="Times New Roman"/>
          <w:i/>
          <w:sz w:val="28"/>
          <w:szCs w:val="28"/>
        </w:rPr>
        <w:t>the</w:t>
      </w:r>
      <w:r>
        <w:rPr>
          <w:rFonts w:cs="Times New Roman" w:ascii="Times New Roman" w:hAnsi="Times New Roman"/>
          <w:sz w:val="28"/>
          <w:szCs w:val="28"/>
        </w:rPr>
        <w:t xml:space="preserve"> is dominant, but they cannot explain what kinds of reference article forms mark. Semantic coding adds this interpretive layer, and inter-coder reliability supports the consistency of the framework. The balanced corpus design also improves comparability</w:t>
      </w:r>
      <w:r>
        <w:rPr>
          <w:rFonts w:cs="Times New Roman" w:ascii="Times New Roman" w:hAnsi="Times New Roman"/>
        </w:rPr>
        <w:t xml:space="preserve"> by giving each outlet equal word-level representation. This combined corpus-frequency and semantic-coding approach can be applied to other grammatical features in specialized news discourse.</w:t>
      </w:r>
    </w:p>
    <w:p>
      <w:pPr>
        <w:pStyle w:val="Heading1"/>
        <w:spacing w:lineRule="auto" w:line="240" w:before="280" w:after="0"/>
        <w:ind w:hanging="0" w:start="0"/>
        <w:jc w:val="center"/>
        <w:rPr>
          <w:rFonts w:ascii="Times New Roman" w:hAnsi="Times New Roman" w:cs="Times New Roman"/>
        </w:rPr>
      </w:pPr>
      <w:r>
        <w:rPr>
          <w:rFonts w:eastAsia="Times New Roman" w:cs="Times New Roman" w:ascii="Times New Roman" w:hAnsi="Times New Roman"/>
          <w:sz w:val="32"/>
        </w:rPr>
        <w:t>6. Conclusion</w:t>
      </w:r>
    </w:p>
    <w:p>
      <w:pPr>
        <w:pStyle w:val="Normal"/>
        <w:spacing w:lineRule="auto" w:line="240" w:before="0" w:after="0"/>
        <w:ind w:firstLine="567" w:end="0"/>
        <w:jc w:val="both"/>
        <w:rPr/>
      </w:pPr>
      <w:r>
        <w:rPr>
          <w:rFonts w:cs="Times New Roman" w:ascii="Times New Roman" w:hAnsi="Times New Roman"/>
          <w:sz w:val="28"/>
          <w:szCs w:val="28"/>
        </w:rPr>
        <w:t xml:space="preserve">This study examined definite and indefinite articles in English economic news using EENC-2026, a balanced one-million-word corpus compiled from ten selected outlets. The frequency results show that the definite article </w:t>
      </w:r>
      <w:r>
        <w:rPr>
          <w:rFonts w:cs="Times New Roman" w:ascii="Times New Roman" w:hAnsi="Times New Roman"/>
          <w:i/>
          <w:sz w:val="28"/>
          <w:szCs w:val="28"/>
        </w:rPr>
        <w:t>the</w:t>
      </w:r>
      <w:r>
        <w:rPr>
          <w:rFonts w:cs="Times New Roman" w:ascii="Times New Roman" w:hAnsi="Times New Roman"/>
          <w:sz w:val="28"/>
          <w:szCs w:val="28"/>
        </w:rPr>
        <w:t xml:space="preserve"> is much more frequent than the indefinite articles </w:t>
      </w:r>
      <w:r>
        <w:rPr>
          <w:rFonts w:cs="Times New Roman" w:ascii="Times New Roman" w:hAnsi="Times New Roman"/>
          <w:i/>
          <w:sz w:val="28"/>
          <w:szCs w:val="28"/>
        </w:rPr>
        <w:t>a/an</w:t>
      </w:r>
      <w:r>
        <w:rPr>
          <w:rFonts w:cs="Times New Roman" w:ascii="Times New Roman" w:hAnsi="Times New Roman"/>
          <w:sz w:val="28"/>
          <w:szCs w:val="28"/>
        </w:rPr>
        <w:t>. The semantic results show that article-marked noun phrases in economic news are mostly specific and non-generic. These findings indicate that articles play an important role in how economic journalism presents entities, events, institutions, indicators, and developments as identifiable or context-bound. The study contributes to article research by showing how definiteness, specificity, and genericity operate in a specialized professional register. It also supports corpus-based discourse analysis by combining outlet-balanced frequency analysis with a 2,000-item semantic coding dataset and inter-coder reliability checking. The study is limited to overt definite and indefinite articles, ten outlets, and one three-month period. Future research could extend the time span, compare economic news with other registers, or examine related noun-phrase features such as modifiers, possessives, quantifiers, and proper-name reference.</w:t>
      </w:r>
      <w:r>
        <w:br w:type="page"/>
      </w:r>
    </w:p>
    <w:p>
      <w:pPr>
        <w:pStyle w:val="Heading1"/>
        <w:spacing w:lineRule="auto" w:line="240" w:before="280" w:after="0"/>
        <w:ind w:hanging="0" w:start="0"/>
        <w:jc w:val="center"/>
        <w:rPr>
          <w:rFonts w:ascii="Times New Roman" w:hAnsi="Times New Roman" w:cs="Times New Roman"/>
        </w:rPr>
      </w:pPr>
      <w:r>
        <w:rPr>
          <w:rFonts w:eastAsia="Times New Roman" w:cs="Times New Roman" w:ascii="Times New Roman" w:hAnsi="Times New Roman"/>
          <w:sz w:val="32"/>
        </w:rPr>
        <w:t>References</w:t>
      </w:r>
    </w:p>
    <w:p>
      <w:pPr>
        <w:pStyle w:val="Normal"/>
        <w:spacing w:lineRule="auto" w:line="240" w:before="0" w:after="0"/>
        <w:ind w:hanging="425" w:start="425" w:end="0"/>
        <w:rPr>
          <w:rFonts w:ascii="Times New Roman" w:hAnsi="Times New Roman" w:cs="Times New Roman"/>
          <w:sz w:val="24"/>
          <w:szCs w:val="24"/>
        </w:rPr>
      </w:pPr>
      <w:bookmarkStart w:id="4" w:name="Akbarova_2024"/>
      <w:r>
        <w:rPr>
          <w:rFonts w:cs="Times New Roman" w:ascii="Times New Roman" w:hAnsi="Times New Roman"/>
          <w:sz w:val="24"/>
          <w:szCs w:val="24"/>
        </w:rPr>
        <w:t xml:space="preserve">Akbarova, F. S. (2024). The characteristics of discourse in economic texts. </w:t>
      </w:r>
      <w:r>
        <w:rPr>
          <w:rFonts w:cs="Times New Roman" w:ascii="Times New Roman" w:hAnsi="Times New Roman"/>
          <w:i/>
          <w:sz w:val="24"/>
          <w:szCs w:val="24"/>
        </w:rPr>
        <w:t>Path of Science, 10</w:t>
      </w:r>
      <w:r>
        <w:rPr>
          <w:rFonts w:cs="Times New Roman" w:ascii="Times New Roman" w:hAnsi="Times New Roman"/>
          <w:sz w:val="24"/>
          <w:szCs w:val="24"/>
        </w:rPr>
        <w:t xml:space="preserve">(2), 1015-1020. </w:t>
      </w:r>
      <w:hyperlink r:id="rId17">
        <w:r>
          <w:rPr>
            <w:rStyle w:val="Hyperlink"/>
            <w:rFonts w:cs="Times New Roman" w:ascii="Times New Roman" w:hAnsi="Times New Roman"/>
            <w:sz w:val="24"/>
            <w:szCs w:val="24"/>
          </w:rPr>
          <w:t>https://doi.org/10.22178/pos.101-15</w:t>
        </w:r>
      </w:hyperlink>
      <w:bookmarkEnd w:id="4"/>
    </w:p>
    <w:p>
      <w:pPr>
        <w:pStyle w:val="Normal"/>
        <w:spacing w:lineRule="auto" w:line="240" w:before="0" w:after="0"/>
        <w:ind w:hanging="425" w:start="425" w:end="0"/>
        <w:rPr/>
      </w:pPr>
      <w:bookmarkStart w:id="5" w:name="Anthony_2020"/>
      <w:r>
        <w:rPr>
          <w:rFonts w:cs="Times New Roman" w:ascii="Times New Roman" w:hAnsi="Times New Roman"/>
          <w:sz w:val="24"/>
          <w:szCs w:val="24"/>
        </w:rPr>
        <w:t xml:space="preserve">Anthony, L. (2020). </w:t>
      </w:r>
      <w:r>
        <w:rPr>
          <w:rFonts w:cs="Times New Roman" w:ascii="Times New Roman" w:hAnsi="Times New Roman"/>
          <w:i/>
          <w:sz w:val="24"/>
          <w:szCs w:val="24"/>
        </w:rPr>
        <w:t>AntConc</w:t>
      </w:r>
      <w:r>
        <w:rPr>
          <w:rFonts w:cs="Times New Roman" w:ascii="Times New Roman" w:hAnsi="Times New Roman"/>
          <w:sz w:val="24"/>
          <w:szCs w:val="24"/>
        </w:rPr>
        <w:t xml:space="preserve"> (Version 3.5.9) [Computer software]. Waseda University. https://www.laurenceanthony.net/software</w:t>
      </w:r>
      <w:bookmarkEnd w:id="5"/>
    </w:p>
    <w:p>
      <w:pPr>
        <w:pStyle w:val="Normal"/>
        <w:spacing w:lineRule="auto" w:line="240" w:before="0" w:after="0"/>
        <w:ind w:hanging="425" w:start="425" w:end="0"/>
        <w:rPr/>
      </w:pPr>
      <w:bookmarkStart w:id="6" w:name="Baroni_Bernardini_2004"/>
      <w:r>
        <w:rPr>
          <w:rFonts w:cs="Times New Roman" w:ascii="Times New Roman" w:hAnsi="Times New Roman"/>
          <w:sz w:val="24"/>
          <w:szCs w:val="24"/>
        </w:rPr>
        <w:t xml:space="preserve">Baroni, M., &amp; Bernardini, S. (2004). BootCaT: Bootstrapping corpora and terms from the web. In M. T. Lino, M. F. Xavier, F. Ferreira, R. Costa, &amp; R. Silva (Eds.), </w:t>
      </w:r>
      <w:r>
        <w:rPr>
          <w:rFonts w:cs="Times New Roman" w:ascii="Times New Roman" w:hAnsi="Times New Roman"/>
          <w:i/>
          <w:sz w:val="24"/>
          <w:szCs w:val="24"/>
        </w:rPr>
        <w:t>Proceedings of LREC 2004</w:t>
      </w:r>
      <w:r>
        <w:rPr>
          <w:rFonts w:cs="Times New Roman" w:ascii="Times New Roman" w:hAnsi="Times New Roman"/>
          <w:sz w:val="24"/>
          <w:szCs w:val="24"/>
        </w:rPr>
        <w:t xml:space="preserve"> (pp. 1313-1316). European Language Resources Association.</w:t>
      </w:r>
      <w:bookmarkEnd w:id="6"/>
    </w:p>
    <w:p>
      <w:pPr>
        <w:pStyle w:val="Normal"/>
        <w:spacing w:lineRule="auto" w:line="240" w:before="0" w:after="0"/>
        <w:ind w:hanging="425" w:start="425" w:end="0"/>
        <w:rPr/>
      </w:pPr>
      <w:bookmarkStart w:id="7" w:name="Bednarek_Caple_2012"/>
      <w:r>
        <w:rPr>
          <w:rFonts w:cs="Times New Roman" w:ascii="Times New Roman" w:hAnsi="Times New Roman"/>
          <w:sz w:val="24"/>
          <w:szCs w:val="24"/>
        </w:rPr>
        <w:t xml:space="preserve">Bednarek, M., &amp; Caple, H. (2012). </w:t>
      </w:r>
      <w:r>
        <w:rPr>
          <w:rFonts w:cs="Times New Roman" w:ascii="Times New Roman" w:hAnsi="Times New Roman"/>
          <w:i/>
          <w:sz w:val="24"/>
          <w:szCs w:val="24"/>
        </w:rPr>
        <w:t>News discourse</w:t>
      </w:r>
      <w:r>
        <w:rPr>
          <w:rFonts w:cs="Times New Roman" w:ascii="Times New Roman" w:hAnsi="Times New Roman"/>
          <w:sz w:val="24"/>
          <w:szCs w:val="24"/>
        </w:rPr>
        <w:t>. Continuum.</w:t>
      </w:r>
      <w:bookmarkEnd w:id="7"/>
    </w:p>
    <w:p>
      <w:pPr>
        <w:pStyle w:val="Normal"/>
        <w:spacing w:lineRule="auto" w:line="240" w:before="0" w:after="0"/>
        <w:ind w:hanging="425" w:start="425" w:end="0"/>
        <w:rPr/>
      </w:pPr>
      <w:bookmarkStart w:id="8" w:name="Bell_1991"/>
      <w:r>
        <w:rPr>
          <w:rFonts w:cs="Times New Roman" w:ascii="Times New Roman" w:hAnsi="Times New Roman"/>
          <w:sz w:val="24"/>
          <w:szCs w:val="24"/>
        </w:rPr>
        <w:t xml:space="preserve">Bell, A. (1991). </w:t>
      </w:r>
      <w:r>
        <w:rPr>
          <w:rFonts w:cs="Times New Roman" w:ascii="Times New Roman" w:hAnsi="Times New Roman"/>
          <w:i/>
          <w:sz w:val="24"/>
          <w:szCs w:val="24"/>
        </w:rPr>
        <w:t>The language of news media</w:t>
      </w:r>
      <w:r>
        <w:rPr>
          <w:rFonts w:cs="Times New Roman" w:ascii="Times New Roman" w:hAnsi="Times New Roman"/>
          <w:sz w:val="24"/>
          <w:szCs w:val="24"/>
        </w:rPr>
        <w:t>. Blackwell.</w:t>
      </w:r>
      <w:bookmarkEnd w:id="8"/>
    </w:p>
    <w:p>
      <w:pPr>
        <w:pStyle w:val="Normal"/>
        <w:spacing w:lineRule="auto" w:line="240" w:before="0" w:after="0"/>
        <w:ind w:hanging="425" w:start="425" w:end="0"/>
        <w:rPr/>
      </w:pPr>
      <w:bookmarkStart w:id="9" w:name="Biber_2006"/>
      <w:r>
        <w:rPr>
          <w:rFonts w:cs="Times New Roman" w:ascii="Times New Roman" w:hAnsi="Times New Roman"/>
          <w:sz w:val="24"/>
          <w:szCs w:val="24"/>
        </w:rPr>
        <w:t xml:space="preserve">Biber, D. (2006). </w:t>
      </w:r>
      <w:r>
        <w:rPr>
          <w:rFonts w:cs="Times New Roman" w:ascii="Times New Roman" w:hAnsi="Times New Roman"/>
          <w:i/>
          <w:sz w:val="24"/>
          <w:szCs w:val="24"/>
        </w:rPr>
        <w:t>University language: A corpus-based study of spoken and written registers</w:t>
      </w:r>
      <w:r>
        <w:rPr>
          <w:rFonts w:cs="Times New Roman" w:ascii="Times New Roman" w:hAnsi="Times New Roman"/>
          <w:sz w:val="24"/>
          <w:szCs w:val="24"/>
        </w:rPr>
        <w:t>. John Benjamins.</w:t>
      </w:r>
      <w:bookmarkEnd w:id="9"/>
    </w:p>
    <w:p>
      <w:pPr>
        <w:pStyle w:val="Normal"/>
        <w:spacing w:lineRule="auto" w:line="240" w:before="0" w:after="0"/>
        <w:ind w:hanging="425" w:start="425" w:end="0"/>
        <w:rPr/>
      </w:pPr>
      <w:bookmarkStart w:id="10" w:name="Biber_Conrad_2009"/>
      <w:r>
        <w:rPr>
          <w:rFonts w:cs="Times New Roman" w:ascii="Times New Roman" w:hAnsi="Times New Roman"/>
          <w:sz w:val="24"/>
          <w:szCs w:val="24"/>
        </w:rPr>
        <w:t xml:space="preserve">Biber, D., &amp; Conrad, S. (2009). </w:t>
      </w:r>
      <w:r>
        <w:rPr>
          <w:rFonts w:cs="Times New Roman" w:ascii="Times New Roman" w:hAnsi="Times New Roman"/>
          <w:i/>
          <w:sz w:val="24"/>
          <w:szCs w:val="24"/>
        </w:rPr>
        <w:t>Register, genre, and style</w:t>
      </w:r>
      <w:r>
        <w:rPr>
          <w:rFonts w:cs="Times New Roman" w:ascii="Times New Roman" w:hAnsi="Times New Roman"/>
          <w:sz w:val="24"/>
          <w:szCs w:val="24"/>
        </w:rPr>
        <w:t>. Cambridge University Press.</w:t>
      </w:r>
      <w:bookmarkEnd w:id="10"/>
    </w:p>
    <w:p>
      <w:pPr>
        <w:pStyle w:val="Normal"/>
        <w:spacing w:lineRule="auto" w:line="240" w:before="0" w:after="0"/>
        <w:ind w:hanging="425" w:start="425" w:end="0"/>
        <w:rPr/>
      </w:pPr>
      <w:bookmarkStart w:id="11" w:name="Biber_Conrad_2019"/>
      <w:r>
        <w:rPr>
          <w:rFonts w:cs="Times New Roman" w:ascii="Times New Roman" w:hAnsi="Times New Roman"/>
          <w:sz w:val="24"/>
          <w:szCs w:val="24"/>
        </w:rPr>
        <w:t xml:space="preserve">Biber, D., &amp; Conrad, S. (2019). </w:t>
      </w:r>
      <w:r>
        <w:rPr>
          <w:rFonts w:cs="Times New Roman" w:ascii="Times New Roman" w:hAnsi="Times New Roman"/>
          <w:i/>
          <w:sz w:val="24"/>
          <w:szCs w:val="24"/>
        </w:rPr>
        <w:t>Register, genre, and style</w:t>
      </w:r>
      <w:r>
        <w:rPr>
          <w:rFonts w:cs="Times New Roman" w:ascii="Times New Roman" w:hAnsi="Times New Roman"/>
          <w:sz w:val="24"/>
          <w:szCs w:val="24"/>
        </w:rPr>
        <w:t xml:space="preserve"> (2nd ed.). Cambridge University Press.</w:t>
      </w:r>
      <w:bookmarkEnd w:id="11"/>
    </w:p>
    <w:p>
      <w:pPr>
        <w:pStyle w:val="Normal"/>
        <w:spacing w:lineRule="auto" w:line="240" w:before="0" w:after="0"/>
        <w:ind w:hanging="425" w:start="425" w:end="0"/>
        <w:rPr/>
      </w:pPr>
      <w:bookmarkStart w:id="12" w:name="Biber_2021"/>
      <w:r>
        <w:rPr>
          <w:rFonts w:cs="Times New Roman" w:ascii="Times New Roman" w:hAnsi="Times New Roman"/>
          <w:sz w:val="24"/>
          <w:szCs w:val="24"/>
        </w:rPr>
        <w:t xml:space="preserve">Biber, D., Conrad, S., &amp; Reppen, R. (2021). </w:t>
      </w:r>
      <w:r>
        <w:rPr>
          <w:rFonts w:cs="Times New Roman" w:ascii="Times New Roman" w:hAnsi="Times New Roman"/>
          <w:i/>
          <w:sz w:val="24"/>
          <w:szCs w:val="24"/>
        </w:rPr>
        <w:t>Corpus linguistics: Investigating language structure and use</w:t>
      </w:r>
      <w:r>
        <w:rPr>
          <w:rFonts w:cs="Times New Roman" w:ascii="Times New Roman" w:hAnsi="Times New Roman"/>
          <w:sz w:val="24"/>
          <w:szCs w:val="24"/>
        </w:rPr>
        <w:t>. Cambridge University Press.</w:t>
      </w:r>
      <w:bookmarkEnd w:id="12"/>
    </w:p>
    <w:p>
      <w:pPr>
        <w:pStyle w:val="Normal"/>
        <w:spacing w:lineRule="auto" w:line="240" w:before="0" w:after="0"/>
        <w:ind w:hanging="425" w:start="425" w:end="0"/>
        <w:rPr/>
      </w:pPr>
      <w:bookmarkStart w:id="13" w:name="Biber_1999"/>
      <w:r>
        <w:rPr>
          <w:rFonts w:cs="Times New Roman" w:ascii="Times New Roman" w:hAnsi="Times New Roman"/>
          <w:sz w:val="24"/>
          <w:szCs w:val="24"/>
        </w:rPr>
        <w:t xml:space="preserve">Biber, D., Johansson, S., Leech, G., Conrad, S., &amp; Finegan, E. (1999). </w:t>
      </w:r>
      <w:r>
        <w:rPr>
          <w:rFonts w:cs="Times New Roman" w:ascii="Times New Roman" w:hAnsi="Times New Roman"/>
          <w:i/>
          <w:sz w:val="24"/>
          <w:szCs w:val="24"/>
        </w:rPr>
        <w:t>Longman grammar of spoken and written English</w:t>
      </w:r>
      <w:r>
        <w:rPr>
          <w:rFonts w:cs="Times New Roman" w:ascii="Times New Roman" w:hAnsi="Times New Roman"/>
          <w:sz w:val="24"/>
          <w:szCs w:val="24"/>
        </w:rPr>
        <w:t>. Longman.</w:t>
      </w:r>
      <w:bookmarkEnd w:id="13"/>
    </w:p>
    <w:p>
      <w:pPr>
        <w:pStyle w:val="Normal"/>
        <w:spacing w:lineRule="auto" w:line="240" w:before="0" w:after="0"/>
        <w:ind w:hanging="425" w:start="425" w:end="0"/>
        <w:rPr/>
      </w:pPr>
      <w:bookmarkStart w:id="14" w:name="Carlson_1977"/>
      <w:r>
        <w:rPr>
          <w:rFonts w:cs="Times New Roman" w:ascii="Times New Roman" w:hAnsi="Times New Roman"/>
          <w:sz w:val="24"/>
          <w:szCs w:val="24"/>
        </w:rPr>
        <w:t xml:space="preserve">Carlson, G. N. (1977). </w:t>
      </w:r>
      <w:r>
        <w:rPr>
          <w:rFonts w:cs="Times New Roman" w:ascii="Times New Roman" w:hAnsi="Times New Roman"/>
          <w:i/>
          <w:sz w:val="24"/>
          <w:szCs w:val="24"/>
        </w:rPr>
        <w:t>Reference to kinds in English</w:t>
      </w:r>
      <w:r>
        <w:rPr>
          <w:rFonts w:cs="Times New Roman" w:ascii="Times New Roman" w:hAnsi="Times New Roman"/>
          <w:sz w:val="24"/>
          <w:szCs w:val="24"/>
        </w:rPr>
        <w:t>. Garland Publishing.</w:t>
      </w:r>
      <w:bookmarkEnd w:id="14"/>
    </w:p>
    <w:p>
      <w:pPr>
        <w:pStyle w:val="Normal"/>
        <w:spacing w:lineRule="auto" w:line="240" w:before="0" w:after="0"/>
        <w:ind w:hanging="425" w:start="425" w:end="0"/>
        <w:rPr/>
      </w:pPr>
      <w:bookmarkStart w:id="15" w:name="Carlson_Pelletier_1995"/>
      <w:r>
        <w:rPr>
          <w:rFonts w:cs="Times New Roman" w:ascii="Times New Roman" w:hAnsi="Times New Roman"/>
          <w:sz w:val="24"/>
          <w:szCs w:val="24"/>
        </w:rPr>
        <w:t xml:space="preserve">Carlson, G. N., &amp; Pelletier, F. J. (Eds.). (1995). </w:t>
      </w:r>
      <w:r>
        <w:rPr>
          <w:rFonts w:cs="Times New Roman" w:ascii="Times New Roman" w:hAnsi="Times New Roman"/>
          <w:i/>
          <w:sz w:val="24"/>
          <w:szCs w:val="24"/>
        </w:rPr>
        <w:t>The generic book</w:t>
      </w:r>
      <w:r>
        <w:rPr>
          <w:rFonts w:cs="Times New Roman" w:ascii="Times New Roman" w:hAnsi="Times New Roman"/>
          <w:sz w:val="24"/>
          <w:szCs w:val="24"/>
        </w:rPr>
        <w:t>. University of Chicago Press.</w:t>
      </w:r>
      <w:bookmarkEnd w:id="15"/>
    </w:p>
    <w:p>
      <w:pPr>
        <w:pStyle w:val="Normal"/>
        <w:spacing w:lineRule="auto" w:line="240" w:before="0" w:after="0"/>
        <w:ind w:hanging="425" w:start="425" w:end="0"/>
        <w:rPr/>
      </w:pPr>
      <w:bookmarkStart w:id="16" w:name="Chierchia_1998"/>
      <w:r>
        <w:rPr>
          <w:rFonts w:cs="Times New Roman" w:ascii="Times New Roman" w:hAnsi="Times New Roman"/>
          <w:sz w:val="24"/>
          <w:szCs w:val="24"/>
        </w:rPr>
        <w:t xml:space="preserve">Chierchia, G. (1998). Reference to kinds across languages. </w:t>
      </w:r>
      <w:r>
        <w:rPr>
          <w:rFonts w:cs="Times New Roman" w:ascii="Times New Roman" w:hAnsi="Times New Roman"/>
          <w:i/>
          <w:sz w:val="24"/>
          <w:szCs w:val="24"/>
        </w:rPr>
        <w:t>Natural Language Semantics, 6</w:t>
      </w:r>
      <w:r>
        <w:rPr>
          <w:rFonts w:cs="Times New Roman" w:ascii="Times New Roman" w:hAnsi="Times New Roman"/>
          <w:sz w:val="24"/>
          <w:szCs w:val="24"/>
        </w:rPr>
        <w:t>(4), 339-405.</w:t>
      </w:r>
      <w:bookmarkEnd w:id="16"/>
    </w:p>
    <w:p>
      <w:pPr>
        <w:pStyle w:val="Normal"/>
        <w:spacing w:lineRule="auto" w:line="240" w:before="0" w:after="0"/>
        <w:ind w:hanging="425" w:start="425" w:end="0"/>
        <w:rPr>
          <w:rFonts w:ascii="Times New Roman" w:hAnsi="Times New Roman" w:cs="Times New Roman"/>
          <w:sz w:val="24"/>
          <w:szCs w:val="24"/>
        </w:rPr>
      </w:pPr>
      <w:bookmarkStart w:id="17" w:name="Clancy_Vaughan_2023"/>
      <w:r>
        <w:rPr>
          <w:rFonts w:cs="Times New Roman" w:ascii="Times New Roman" w:hAnsi="Times New Roman"/>
          <w:sz w:val="24"/>
          <w:szCs w:val="24"/>
        </w:rPr>
        <w:t xml:space="preserve">Clancy, B., &amp; Vaughan, E. (2023). Using corpus linguistics to interpret economic news texts. In B. Clancy &amp; E. Vaughan (Eds.), </w:t>
      </w:r>
      <w:r>
        <w:rPr>
          <w:rFonts w:cs="Times New Roman" w:ascii="Times New Roman" w:hAnsi="Times New Roman"/>
          <w:i/>
          <w:sz w:val="24"/>
          <w:szCs w:val="24"/>
        </w:rPr>
        <w:t>Corpus linguistics and business communication</w:t>
      </w:r>
      <w:r>
        <w:rPr>
          <w:rFonts w:cs="Times New Roman" w:ascii="Times New Roman" w:hAnsi="Times New Roman"/>
          <w:sz w:val="24"/>
          <w:szCs w:val="24"/>
        </w:rPr>
        <w:t xml:space="preserve"> (pp. 185-210). Routledge. </w:t>
      </w:r>
      <w:hyperlink r:id="rId18">
        <w:r>
          <w:rPr>
            <w:rStyle w:val="Hyperlink"/>
            <w:rFonts w:cs="Times New Roman" w:ascii="Times New Roman" w:hAnsi="Times New Roman"/>
            <w:sz w:val="24"/>
            <w:szCs w:val="24"/>
          </w:rPr>
          <w:t>https://doi.org/10.4324/9781003154747-10</w:t>
        </w:r>
      </w:hyperlink>
      <w:bookmarkEnd w:id="17"/>
    </w:p>
    <w:p>
      <w:pPr>
        <w:pStyle w:val="Normal"/>
        <w:spacing w:lineRule="auto" w:line="240" w:before="0" w:after="0"/>
        <w:ind w:hanging="425" w:start="425" w:end="0"/>
        <w:rPr>
          <w:rFonts w:ascii="Times New Roman" w:hAnsi="Times New Roman" w:cs="Times New Roman"/>
          <w:sz w:val="24"/>
          <w:szCs w:val="24"/>
        </w:rPr>
      </w:pPr>
      <w:bookmarkStart w:id="18" w:name="Delice_Pinto_2025"/>
      <w:r>
        <w:rPr>
          <w:rFonts w:cs="Times New Roman" w:ascii="Times New Roman" w:hAnsi="Times New Roman"/>
          <w:sz w:val="24"/>
          <w:szCs w:val="24"/>
        </w:rPr>
        <w:t xml:space="preserve">Delice, P., &amp; Pinto, D. (2025). Decoding economic insights: The analytical power of news content. </w:t>
      </w:r>
      <w:r>
        <w:rPr>
          <w:rFonts w:cs="Times New Roman" w:ascii="Times New Roman" w:hAnsi="Times New Roman"/>
          <w:i/>
          <w:sz w:val="24"/>
          <w:szCs w:val="24"/>
        </w:rPr>
        <w:t>Journal of Scientometric Research, 14</w:t>
      </w:r>
      <w:r>
        <w:rPr>
          <w:rFonts w:cs="Times New Roman" w:ascii="Times New Roman" w:hAnsi="Times New Roman"/>
          <w:sz w:val="24"/>
          <w:szCs w:val="24"/>
        </w:rPr>
        <w:t xml:space="preserve">(1), 365-372. </w:t>
      </w:r>
      <w:hyperlink r:id="rId19">
        <w:r>
          <w:rPr>
            <w:rStyle w:val="Hyperlink"/>
            <w:rFonts w:cs="Times New Roman" w:ascii="Times New Roman" w:hAnsi="Times New Roman"/>
            <w:sz w:val="24"/>
            <w:szCs w:val="24"/>
          </w:rPr>
          <w:t>https://doi.org/10.5530/jscires.20251459</w:t>
        </w:r>
      </w:hyperlink>
      <w:bookmarkEnd w:id="18"/>
    </w:p>
    <w:p>
      <w:pPr>
        <w:pStyle w:val="Normal"/>
        <w:spacing w:lineRule="auto" w:line="240" w:before="0" w:after="0"/>
        <w:ind w:hanging="425" w:start="425" w:end="0"/>
        <w:rPr>
          <w:rFonts w:ascii="Times New Roman" w:hAnsi="Times New Roman" w:cs="Times New Roman"/>
          <w:sz w:val="24"/>
          <w:szCs w:val="24"/>
        </w:rPr>
      </w:pPr>
      <w:bookmarkStart w:id="19" w:name="Derkach_Alexopoulou_2024"/>
      <w:r>
        <w:rPr>
          <w:rFonts w:cs="Times New Roman" w:ascii="Times New Roman" w:hAnsi="Times New Roman"/>
          <w:sz w:val="24"/>
          <w:szCs w:val="24"/>
        </w:rPr>
        <w:t xml:space="preserve">Derkach, K., &amp; Alexopoulou, T. (2024). Definite and indefinite article accuracy in learner English. </w:t>
      </w:r>
      <w:r>
        <w:rPr>
          <w:rFonts w:cs="Times New Roman" w:ascii="Times New Roman" w:hAnsi="Times New Roman"/>
          <w:i/>
          <w:sz w:val="24"/>
          <w:szCs w:val="24"/>
        </w:rPr>
        <w:t>Studies in Second Language Acquisition, 46</w:t>
      </w:r>
      <w:r>
        <w:rPr>
          <w:rFonts w:cs="Times New Roman" w:ascii="Times New Roman" w:hAnsi="Times New Roman"/>
          <w:sz w:val="24"/>
          <w:szCs w:val="24"/>
        </w:rPr>
        <w:t xml:space="preserve">(2), 385-418. </w:t>
      </w:r>
      <w:hyperlink r:id="rId20">
        <w:r>
          <w:rPr>
            <w:rStyle w:val="Hyperlink"/>
            <w:rFonts w:cs="Times New Roman" w:ascii="Times New Roman" w:hAnsi="Times New Roman"/>
            <w:sz w:val="24"/>
            <w:szCs w:val="24"/>
          </w:rPr>
          <w:t>https://doi.org/10.1017/S0272263123000463</w:t>
        </w:r>
      </w:hyperlink>
      <w:bookmarkEnd w:id="19"/>
    </w:p>
    <w:p>
      <w:pPr>
        <w:pStyle w:val="Normal"/>
        <w:spacing w:lineRule="auto" w:line="240" w:before="0" w:after="0"/>
        <w:ind w:hanging="425" w:start="425" w:end="0"/>
        <w:rPr/>
      </w:pPr>
      <w:bookmarkStart w:id="20" w:name="Fairclough_1995"/>
      <w:r>
        <w:rPr>
          <w:rFonts w:cs="Times New Roman" w:ascii="Times New Roman" w:hAnsi="Times New Roman"/>
          <w:sz w:val="24"/>
          <w:szCs w:val="24"/>
        </w:rPr>
        <w:t xml:space="preserve">Fairclough, N. (1995). </w:t>
      </w:r>
      <w:r>
        <w:rPr>
          <w:rFonts w:cs="Times New Roman" w:ascii="Times New Roman" w:hAnsi="Times New Roman"/>
          <w:i/>
          <w:sz w:val="24"/>
          <w:szCs w:val="24"/>
        </w:rPr>
        <w:t>Media discourse</w:t>
      </w:r>
      <w:r>
        <w:rPr>
          <w:rFonts w:cs="Times New Roman" w:ascii="Times New Roman" w:hAnsi="Times New Roman"/>
          <w:sz w:val="24"/>
          <w:szCs w:val="24"/>
        </w:rPr>
        <w:t>. Edward Arnold.</w:t>
      </w:r>
      <w:bookmarkEnd w:id="20"/>
    </w:p>
    <w:p>
      <w:pPr>
        <w:pStyle w:val="Normal"/>
        <w:spacing w:lineRule="auto" w:line="240" w:before="0" w:after="0"/>
        <w:ind w:hanging="425" w:start="425" w:end="0"/>
        <w:rPr/>
      </w:pPr>
      <w:bookmarkStart w:id="21" w:name="Fodor_Sag_1982"/>
      <w:r>
        <w:rPr>
          <w:rFonts w:cs="Times New Roman" w:ascii="Times New Roman" w:hAnsi="Times New Roman"/>
          <w:sz w:val="24"/>
          <w:szCs w:val="24"/>
        </w:rPr>
        <w:t xml:space="preserve">Fodor, J. D., &amp; Sag, I. A. (1982). Referential and quantificational indefinites. </w:t>
      </w:r>
      <w:r>
        <w:rPr>
          <w:rFonts w:cs="Times New Roman" w:ascii="Times New Roman" w:hAnsi="Times New Roman"/>
          <w:i/>
          <w:sz w:val="24"/>
          <w:szCs w:val="24"/>
        </w:rPr>
        <w:t>Linguistics and Philosophy, 5</w:t>
      </w:r>
      <w:r>
        <w:rPr>
          <w:rFonts w:cs="Times New Roman" w:ascii="Times New Roman" w:hAnsi="Times New Roman"/>
          <w:sz w:val="24"/>
          <w:szCs w:val="24"/>
        </w:rPr>
        <w:t>(3), 355-398.</w:t>
      </w:r>
      <w:bookmarkEnd w:id="21"/>
    </w:p>
    <w:p>
      <w:pPr>
        <w:pStyle w:val="Normal"/>
        <w:spacing w:lineRule="auto" w:line="240" w:before="0" w:after="0"/>
        <w:ind w:hanging="425" w:start="425" w:end="0"/>
        <w:rPr/>
      </w:pPr>
      <w:bookmarkStart w:id="22" w:name="Gundel_1993"/>
      <w:r>
        <w:rPr>
          <w:rFonts w:cs="Times New Roman" w:ascii="Times New Roman" w:hAnsi="Times New Roman"/>
          <w:sz w:val="24"/>
          <w:szCs w:val="24"/>
        </w:rPr>
        <w:t xml:space="preserve">Gundel, J. K., Hedberg, N., &amp; Zacharski, R. (1993). Cognitive status and the form of referring expressions in discourse. </w:t>
      </w:r>
      <w:r>
        <w:rPr>
          <w:rFonts w:cs="Times New Roman" w:ascii="Times New Roman" w:hAnsi="Times New Roman"/>
          <w:i/>
          <w:sz w:val="24"/>
          <w:szCs w:val="24"/>
        </w:rPr>
        <w:t>Language, 69</w:t>
      </w:r>
      <w:r>
        <w:rPr>
          <w:rFonts w:cs="Times New Roman" w:ascii="Times New Roman" w:hAnsi="Times New Roman"/>
          <w:sz w:val="24"/>
          <w:szCs w:val="24"/>
        </w:rPr>
        <w:t>(2), 274-307.</w:t>
      </w:r>
      <w:bookmarkEnd w:id="22"/>
    </w:p>
    <w:p>
      <w:pPr>
        <w:pStyle w:val="Normal"/>
        <w:spacing w:lineRule="auto" w:line="240" w:before="0" w:after="0"/>
        <w:ind w:hanging="425" w:start="425" w:end="0"/>
        <w:rPr/>
      </w:pPr>
      <w:bookmarkStart w:id="23" w:name="Hawkins_1978"/>
      <w:r>
        <w:rPr>
          <w:rFonts w:cs="Times New Roman" w:ascii="Times New Roman" w:hAnsi="Times New Roman"/>
          <w:sz w:val="24"/>
          <w:szCs w:val="24"/>
        </w:rPr>
        <w:t xml:space="preserve">Hawkins, J. A. (1978). </w:t>
      </w:r>
      <w:r>
        <w:rPr>
          <w:rFonts w:cs="Times New Roman" w:ascii="Times New Roman" w:hAnsi="Times New Roman"/>
          <w:i/>
          <w:sz w:val="24"/>
          <w:szCs w:val="24"/>
        </w:rPr>
        <w:t>Definiteness and indefiniteness: A study in reference and grammaticality prediction</w:t>
      </w:r>
      <w:r>
        <w:rPr>
          <w:rFonts w:cs="Times New Roman" w:ascii="Times New Roman" w:hAnsi="Times New Roman"/>
          <w:sz w:val="24"/>
          <w:szCs w:val="24"/>
        </w:rPr>
        <w:t>. Croom Helm.</w:t>
      </w:r>
      <w:bookmarkEnd w:id="23"/>
    </w:p>
    <w:p>
      <w:pPr>
        <w:pStyle w:val="Normal"/>
        <w:spacing w:lineRule="auto" w:line="240" w:before="0" w:after="0"/>
        <w:ind w:hanging="425" w:start="425" w:end="0"/>
        <w:rPr/>
      </w:pPr>
      <w:bookmarkStart w:id="24" w:name="Heim_1982"/>
      <w:r>
        <w:rPr>
          <w:rFonts w:cs="Times New Roman" w:ascii="Times New Roman" w:hAnsi="Times New Roman"/>
          <w:sz w:val="24"/>
          <w:szCs w:val="24"/>
        </w:rPr>
        <w:t xml:space="preserve">Heim, I. (1982). </w:t>
      </w:r>
      <w:r>
        <w:rPr>
          <w:rFonts w:cs="Times New Roman" w:ascii="Times New Roman" w:hAnsi="Times New Roman"/>
          <w:i/>
          <w:sz w:val="24"/>
          <w:szCs w:val="24"/>
        </w:rPr>
        <w:t>The semantics of definite and indefinite noun phrases</w:t>
      </w:r>
      <w:r>
        <w:rPr>
          <w:rFonts w:cs="Times New Roman" w:ascii="Times New Roman" w:hAnsi="Times New Roman"/>
          <w:sz w:val="24"/>
          <w:szCs w:val="24"/>
        </w:rPr>
        <w:t xml:space="preserve"> [Doctoral dissertation, University of Massachusetts Amherst].</w:t>
      </w:r>
      <w:bookmarkEnd w:id="24"/>
    </w:p>
    <w:p>
      <w:pPr>
        <w:pStyle w:val="Normal"/>
        <w:spacing w:lineRule="auto" w:line="240" w:before="0" w:after="0"/>
        <w:ind w:hanging="425" w:start="425" w:end="0"/>
        <w:rPr/>
      </w:pPr>
      <w:bookmarkStart w:id="25" w:name="Huddleston_Pullum_2002"/>
      <w:r>
        <w:rPr>
          <w:rFonts w:cs="Times New Roman" w:ascii="Times New Roman" w:hAnsi="Times New Roman"/>
          <w:sz w:val="24"/>
          <w:szCs w:val="24"/>
        </w:rPr>
        <w:t xml:space="preserve">Huddleston, R., &amp; Pullum, G. K. (2002). </w:t>
      </w:r>
      <w:r>
        <w:rPr>
          <w:rFonts w:cs="Times New Roman" w:ascii="Times New Roman" w:hAnsi="Times New Roman"/>
          <w:i/>
          <w:sz w:val="24"/>
          <w:szCs w:val="24"/>
        </w:rPr>
        <w:t>The Cambridge grammar of the English language</w:t>
      </w:r>
      <w:r>
        <w:rPr>
          <w:rFonts w:cs="Times New Roman" w:ascii="Times New Roman" w:hAnsi="Times New Roman"/>
          <w:sz w:val="24"/>
          <w:szCs w:val="24"/>
        </w:rPr>
        <w:t>. Cambridge University Press.</w:t>
      </w:r>
      <w:bookmarkEnd w:id="25"/>
    </w:p>
    <w:p>
      <w:pPr>
        <w:pStyle w:val="Normal"/>
        <w:spacing w:lineRule="auto" w:line="240" w:before="0" w:after="0"/>
        <w:ind w:hanging="425" w:start="425" w:end="0"/>
        <w:rPr/>
      </w:pPr>
      <w:bookmarkStart w:id="26" w:name="Hunston_2022"/>
      <w:r>
        <w:rPr>
          <w:rFonts w:cs="Times New Roman" w:ascii="Times New Roman" w:hAnsi="Times New Roman"/>
          <w:sz w:val="24"/>
          <w:szCs w:val="24"/>
        </w:rPr>
        <w:t xml:space="preserve">Hunston, S. (2022). </w:t>
      </w:r>
      <w:r>
        <w:rPr>
          <w:rFonts w:cs="Times New Roman" w:ascii="Times New Roman" w:hAnsi="Times New Roman"/>
          <w:i/>
          <w:sz w:val="24"/>
          <w:szCs w:val="24"/>
        </w:rPr>
        <w:t>Corpora in applied linguistics</w:t>
      </w:r>
      <w:r>
        <w:rPr>
          <w:rFonts w:cs="Times New Roman" w:ascii="Times New Roman" w:hAnsi="Times New Roman"/>
          <w:sz w:val="24"/>
          <w:szCs w:val="24"/>
        </w:rPr>
        <w:t xml:space="preserve"> (2nd ed.). Cambridge University Press.</w:t>
      </w:r>
      <w:bookmarkEnd w:id="26"/>
    </w:p>
    <w:p>
      <w:pPr>
        <w:pStyle w:val="Normal"/>
        <w:spacing w:lineRule="auto" w:line="240" w:before="0" w:after="0"/>
        <w:ind w:hanging="425" w:start="425" w:end="0"/>
        <w:rPr/>
      </w:pPr>
      <w:bookmarkStart w:id="27" w:name="IBM_2020"/>
      <w:r>
        <w:rPr>
          <w:rFonts w:cs="Times New Roman" w:ascii="Times New Roman" w:hAnsi="Times New Roman"/>
          <w:sz w:val="24"/>
          <w:szCs w:val="24"/>
        </w:rPr>
        <w:t xml:space="preserve">IBM Corp. (2020). </w:t>
      </w:r>
      <w:r>
        <w:rPr>
          <w:rFonts w:cs="Times New Roman" w:ascii="Times New Roman" w:hAnsi="Times New Roman"/>
          <w:i/>
          <w:sz w:val="24"/>
          <w:szCs w:val="24"/>
        </w:rPr>
        <w:t>IBM SPSS Statistics for Windows</w:t>
      </w:r>
      <w:r>
        <w:rPr>
          <w:rFonts w:cs="Times New Roman" w:ascii="Times New Roman" w:hAnsi="Times New Roman"/>
          <w:sz w:val="24"/>
          <w:szCs w:val="24"/>
        </w:rPr>
        <w:t xml:space="preserve"> (Version 27.0) [Computer software]. IBM Corp.</w:t>
      </w:r>
      <w:bookmarkEnd w:id="27"/>
    </w:p>
    <w:p>
      <w:pPr>
        <w:pStyle w:val="Normal"/>
        <w:spacing w:lineRule="auto" w:line="240" w:before="0" w:after="0"/>
        <w:ind w:hanging="425" w:start="425" w:end="0"/>
        <w:rPr/>
      </w:pPr>
      <w:bookmarkStart w:id="28" w:name="Kilgarriff_2014"/>
      <w:r>
        <w:rPr>
          <w:rFonts w:cs="Times New Roman" w:ascii="Times New Roman" w:hAnsi="Times New Roman"/>
          <w:sz w:val="24"/>
          <w:szCs w:val="24"/>
        </w:rPr>
        <w:t xml:space="preserve">Kilgarriff, A., Baisa, V., Busta, J., Jakubicek, M., Kovar, V., Michelfeit, J., Rychly, P., &amp; Suchomel, V. (2014). The Sketch Engine: Ten years on. </w:t>
      </w:r>
      <w:r>
        <w:rPr>
          <w:rFonts w:cs="Times New Roman" w:ascii="Times New Roman" w:hAnsi="Times New Roman"/>
          <w:i/>
          <w:sz w:val="24"/>
          <w:szCs w:val="24"/>
        </w:rPr>
        <w:t>Lexicography, 1</w:t>
      </w:r>
      <w:r>
        <w:rPr>
          <w:rFonts w:cs="Times New Roman" w:ascii="Times New Roman" w:hAnsi="Times New Roman"/>
          <w:sz w:val="24"/>
          <w:szCs w:val="24"/>
        </w:rPr>
        <w:t>(1), 7-36.</w:t>
      </w:r>
      <w:bookmarkEnd w:id="28"/>
    </w:p>
    <w:p>
      <w:pPr>
        <w:pStyle w:val="Normal"/>
        <w:spacing w:lineRule="auto" w:line="240" w:before="0" w:after="0"/>
        <w:ind w:hanging="425" w:start="425" w:end="0"/>
        <w:rPr/>
      </w:pPr>
      <w:bookmarkStart w:id="29" w:name="Krifka_1995"/>
      <w:r>
        <w:rPr>
          <w:rFonts w:cs="Times New Roman" w:ascii="Times New Roman" w:hAnsi="Times New Roman"/>
          <w:sz w:val="24"/>
          <w:szCs w:val="24"/>
        </w:rPr>
        <w:t xml:space="preserve">Krifka, M., Pelletier, F. J., Carlson, G. N., ter Meulen, A., Chierchia, G., &amp; Link, G. (1995). Genericity: An introduction. In G. N. Carlson &amp; F. J. Pelletier (Eds.), </w:t>
      </w:r>
      <w:r>
        <w:rPr>
          <w:rFonts w:cs="Times New Roman" w:ascii="Times New Roman" w:hAnsi="Times New Roman"/>
          <w:i/>
          <w:sz w:val="24"/>
          <w:szCs w:val="24"/>
        </w:rPr>
        <w:t>The generic book</w:t>
      </w:r>
      <w:r>
        <w:rPr>
          <w:rFonts w:cs="Times New Roman" w:ascii="Times New Roman" w:hAnsi="Times New Roman"/>
          <w:sz w:val="24"/>
          <w:szCs w:val="24"/>
        </w:rPr>
        <w:t xml:space="preserve"> (pp. 1-124). University of Chicago Press.</w:t>
      </w:r>
      <w:bookmarkEnd w:id="29"/>
    </w:p>
    <w:p>
      <w:pPr>
        <w:pStyle w:val="Normal"/>
        <w:spacing w:lineRule="auto" w:line="240" w:before="0" w:after="0"/>
        <w:ind w:hanging="425" w:start="425" w:end="0"/>
        <w:rPr>
          <w:rFonts w:ascii="Times New Roman" w:hAnsi="Times New Roman" w:cs="Times New Roman"/>
          <w:sz w:val="24"/>
          <w:szCs w:val="24"/>
        </w:rPr>
      </w:pPr>
      <w:bookmarkStart w:id="30" w:name="Lei_2025"/>
      <w:r>
        <w:rPr>
          <w:rFonts w:cs="Times New Roman" w:ascii="Times New Roman" w:hAnsi="Times New Roman"/>
          <w:sz w:val="24"/>
          <w:szCs w:val="24"/>
        </w:rPr>
        <w:t xml:space="preserve">Lei, H. (2025). Navigating health communication in China: A corpus-based critical discourse analysis of post-pandemic news reports. </w:t>
      </w:r>
      <w:r>
        <w:rPr>
          <w:rFonts w:cs="Times New Roman" w:ascii="Times New Roman" w:hAnsi="Times New Roman"/>
          <w:i/>
          <w:sz w:val="24"/>
          <w:szCs w:val="24"/>
        </w:rPr>
        <w:t>Humanities and Social Sciences Communications, 12</w:t>
      </w:r>
      <w:r>
        <w:rPr>
          <w:rFonts w:cs="Times New Roman" w:ascii="Times New Roman" w:hAnsi="Times New Roman"/>
          <w:sz w:val="24"/>
          <w:szCs w:val="24"/>
        </w:rPr>
        <w:t xml:space="preserve">, Article 47727. </w:t>
      </w:r>
      <w:hyperlink r:id="rId21">
        <w:r>
          <w:rPr>
            <w:rStyle w:val="Hyperlink"/>
            <w:rFonts w:cs="Times New Roman" w:ascii="Times New Roman" w:hAnsi="Times New Roman"/>
            <w:sz w:val="24"/>
            <w:szCs w:val="24"/>
          </w:rPr>
          <w:t>https://doi.org/10.1057/s41599-025-04727-w</w:t>
        </w:r>
      </w:hyperlink>
      <w:bookmarkEnd w:id="30"/>
    </w:p>
    <w:p>
      <w:pPr>
        <w:pStyle w:val="Normal"/>
        <w:spacing w:lineRule="auto" w:line="240" w:before="0" w:after="0"/>
        <w:ind w:hanging="425" w:start="425" w:end="0"/>
        <w:rPr>
          <w:rFonts w:ascii="Times New Roman" w:hAnsi="Times New Roman" w:cs="Times New Roman"/>
          <w:sz w:val="24"/>
          <w:szCs w:val="24"/>
        </w:rPr>
      </w:pPr>
      <w:bookmarkStart w:id="31" w:name="Li_Gao_2023"/>
      <w:r>
        <w:rPr>
          <w:rFonts w:cs="Times New Roman" w:ascii="Times New Roman" w:hAnsi="Times New Roman"/>
          <w:sz w:val="24"/>
          <w:szCs w:val="24"/>
        </w:rPr>
        <w:t xml:space="preserve">Li, L., &amp; Gao, F. (2023). Contrasting semantic and sentimental features of economic news texts: A corpus-based study. </w:t>
      </w:r>
      <w:r>
        <w:rPr>
          <w:rFonts w:cs="Times New Roman" w:ascii="Times New Roman" w:hAnsi="Times New Roman"/>
          <w:i/>
          <w:sz w:val="24"/>
          <w:szCs w:val="24"/>
        </w:rPr>
        <w:t>Social Sciences &amp; Humanities Open, 7</w:t>
      </w:r>
      <w:r>
        <w:rPr>
          <w:rFonts w:cs="Times New Roman" w:ascii="Times New Roman" w:hAnsi="Times New Roman"/>
          <w:sz w:val="24"/>
          <w:szCs w:val="24"/>
        </w:rPr>
        <w:t xml:space="preserve">(1), Article 100435. </w:t>
      </w:r>
      <w:hyperlink r:id="rId22">
        <w:r>
          <w:rPr>
            <w:rStyle w:val="Hyperlink"/>
            <w:rFonts w:cs="Times New Roman" w:ascii="Times New Roman" w:hAnsi="Times New Roman"/>
            <w:sz w:val="24"/>
            <w:szCs w:val="24"/>
          </w:rPr>
          <w:t>https://doi.org/10.1016/j.ssaho.2023.100435</w:t>
        </w:r>
      </w:hyperlink>
      <w:bookmarkEnd w:id="31"/>
    </w:p>
    <w:p>
      <w:pPr>
        <w:pStyle w:val="Normal"/>
        <w:spacing w:lineRule="auto" w:line="240" w:before="0" w:after="0"/>
        <w:ind w:hanging="425" w:start="425" w:end="0"/>
        <w:rPr/>
      </w:pPr>
      <w:bookmarkStart w:id="32" w:name="Lyons_1999"/>
      <w:r>
        <w:rPr>
          <w:rFonts w:cs="Times New Roman" w:ascii="Times New Roman" w:hAnsi="Times New Roman"/>
          <w:sz w:val="24"/>
          <w:szCs w:val="24"/>
        </w:rPr>
        <w:t xml:space="preserve">Lyons, C. (1999). </w:t>
      </w:r>
      <w:r>
        <w:rPr>
          <w:rFonts w:cs="Times New Roman" w:ascii="Times New Roman" w:hAnsi="Times New Roman"/>
          <w:i/>
          <w:sz w:val="24"/>
          <w:szCs w:val="24"/>
        </w:rPr>
        <w:t>Definiteness</w:t>
      </w:r>
      <w:r>
        <w:rPr>
          <w:rFonts w:cs="Times New Roman" w:ascii="Times New Roman" w:hAnsi="Times New Roman"/>
          <w:sz w:val="24"/>
          <w:szCs w:val="24"/>
        </w:rPr>
        <w:t>. Cambridge University Press.</w:t>
      </w:r>
      <w:bookmarkEnd w:id="32"/>
    </w:p>
    <w:p>
      <w:pPr>
        <w:pStyle w:val="Normal"/>
        <w:spacing w:lineRule="auto" w:line="240" w:before="0" w:after="0"/>
        <w:ind w:hanging="425" w:start="425" w:end="0"/>
        <w:rPr/>
      </w:pPr>
      <w:bookmarkStart w:id="33" w:name="McEnery_Hardie_2012"/>
      <w:r>
        <w:rPr>
          <w:rFonts w:cs="Times New Roman" w:ascii="Times New Roman" w:hAnsi="Times New Roman"/>
          <w:sz w:val="24"/>
          <w:szCs w:val="24"/>
        </w:rPr>
        <w:t xml:space="preserve">McEnery, T., &amp; Hardie, A. (2012). </w:t>
      </w:r>
      <w:r>
        <w:rPr>
          <w:rFonts w:cs="Times New Roman" w:ascii="Times New Roman" w:hAnsi="Times New Roman"/>
          <w:i/>
          <w:sz w:val="24"/>
          <w:szCs w:val="24"/>
        </w:rPr>
        <w:t>Corpus linguistics: Method, theory and practice</w:t>
      </w:r>
      <w:r>
        <w:rPr>
          <w:rFonts w:cs="Times New Roman" w:ascii="Times New Roman" w:hAnsi="Times New Roman"/>
          <w:sz w:val="24"/>
          <w:szCs w:val="24"/>
        </w:rPr>
        <w:t>. Cambridge University Press.</w:t>
      </w:r>
      <w:bookmarkEnd w:id="33"/>
    </w:p>
    <w:p>
      <w:pPr>
        <w:pStyle w:val="Normal"/>
        <w:spacing w:lineRule="auto" w:line="240" w:before="0" w:after="0"/>
        <w:ind w:hanging="425" w:start="425" w:end="0"/>
        <w:rPr>
          <w:rFonts w:ascii="Times New Roman" w:hAnsi="Times New Roman" w:cs="Times New Roman"/>
          <w:sz w:val="24"/>
          <w:szCs w:val="24"/>
        </w:rPr>
      </w:pPr>
      <w:bookmarkStart w:id="34" w:name="Park_2023"/>
      <w:r>
        <w:rPr>
          <w:rFonts w:cs="Times New Roman" w:ascii="Times New Roman" w:hAnsi="Times New Roman"/>
          <w:sz w:val="24"/>
          <w:szCs w:val="24"/>
        </w:rPr>
        <w:t xml:space="preserve">Park, S. (2023). Corpus analysis of L2 English article occurrence patterns: Focus on genericity. </w:t>
      </w:r>
      <w:r>
        <w:rPr>
          <w:rFonts w:cs="Times New Roman" w:ascii="Times New Roman" w:hAnsi="Times New Roman"/>
          <w:i/>
          <w:sz w:val="24"/>
          <w:szCs w:val="24"/>
        </w:rPr>
        <w:t>Cogent Education, 10</w:t>
      </w:r>
      <w:r>
        <w:rPr>
          <w:rFonts w:cs="Times New Roman" w:ascii="Times New Roman" w:hAnsi="Times New Roman"/>
          <w:sz w:val="24"/>
          <w:szCs w:val="24"/>
        </w:rPr>
        <w:t xml:space="preserve">(1), Article 2197662. </w:t>
      </w:r>
      <w:hyperlink r:id="rId23">
        <w:r>
          <w:rPr>
            <w:rStyle w:val="Hyperlink"/>
            <w:rFonts w:cs="Times New Roman" w:ascii="Times New Roman" w:hAnsi="Times New Roman"/>
            <w:sz w:val="24"/>
            <w:szCs w:val="24"/>
          </w:rPr>
          <w:t>https://doi.org/10.1080/2331186X.2023.2197662</w:t>
        </w:r>
      </w:hyperlink>
      <w:bookmarkEnd w:id="34"/>
    </w:p>
    <w:p>
      <w:pPr>
        <w:pStyle w:val="Normal"/>
        <w:spacing w:lineRule="auto" w:line="240" w:before="0" w:after="0"/>
        <w:ind w:hanging="425" w:start="425" w:end="0"/>
        <w:rPr>
          <w:rFonts w:ascii="Times New Roman" w:hAnsi="Times New Roman" w:cs="Times New Roman"/>
          <w:sz w:val="24"/>
          <w:szCs w:val="24"/>
        </w:rPr>
      </w:pPr>
      <w:bookmarkStart w:id="35" w:name="Poesio_Vieira_1998"/>
      <w:r>
        <w:rPr>
          <w:rFonts w:cs="Times New Roman" w:ascii="Times New Roman" w:hAnsi="Times New Roman"/>
          <w:sz w:val="24"/>
          <w:szCs w:val="24"/>
        </w:rPr>
        <w:t xml:space="preserve">Poesio, M., &amp; Vieira, R. (1998). A corpus-based investigation of definite description use. </w:t>
      </w:r>
      <w:r>
        <w:rPr>
          <w:rFonts w:cs="Times New Roman" w:ascii="Times New Roman" w:hAnsi="Times New Roman"/>
          <w:i/>
          <w:sz w:val="24"/>
          <w:szCs w:val="24"/>
        </w:rPr>
        <w:t>Computational Linguistics, 24</w:t>
      </w:r>
      <w:r>
        <w:rPr>
          <w:rFonts w:cs="Times New Roman" w:ascii="Times New Roman" w:hAnsi="Times New Roman"/>
          <w:sz w:val="24"/>
          <w:szCs w:val="24"/>
        </w:rPr>
        <w:t xml:space="preserve">(2), 183-216. </w:t>
      </w:r>
      <w:hyperlink r:id="rId24">
        <w:r>
          <w:rPr>
            <w:rStyle w:val="Hyperlink"/>
            <w:rFonts w:cs="Times New Roman" w:ascii="Times New Roman" w:hAnsi="Times New Roman"/>
            <w:sz w:val="24"/>
            <w:szCs w:val="24"/>
          </w:rPr>
          <w:t>https://doi.org/10.1162/089120198563456</w:t>
        </w:r>
      </w:hyperlink>
      <w:bookmarkEnd w:id="35"/>
    </w:p>
    <w:p>
      <w:pPr>
        <w:pStyle w:val="Normal"/>
        <w:spacing w:lineRule="auto" w:line="240" w:before="0" w:after="0"/>
        <w:ind w:hanging="425" w:start="425" w:end="0"/>
        <w:rPr/>
      </w:pPr>
      <w:bookmarkStart w:id="36" w:name="Quirk_1985"/>
      <w:r>
        <w:rPr>
          <w:rFonts w:cs="Times New Roman" w:ascii="Times New Roman" w:hAnsi="Times New Roman"/>
          <w:sz w:val="24"/>
          <w:szCs w:val="24"/>
        </w:rPr>
        <w:t xml:space="preserve">Quirk, R., Greenbaum, S., Leech, G., &amp; Svartvik, J. (1985). </w:t>
      </w:r>
      <w:r>
        <w:rPr>
          <w:rFonts w:cs="Times New Roman" w:ascii="Times New Roman" w:hAnsi="Times New Roman"/>
          <w:i/>
          <w:sz w:val="24"/>
          <w:szCs w:val="24"/>
        </w:rPr>
        <w:t>A complete grammar of the English language</w:t>
      </w:r>
      <w:r>
        <w:rPr>
          <w:rFonts w:cs="Times New Roman" w:ascii="Times New Roman" w:hAnsi="Times New Roman"/>
          <w:sz w:val="24"/>
          <w:szCs w:val="24"/>
        </w:rPr>
        <w:t>. Longman.</w:t>
      </w:r>
      <w:bookmarkEnd w:id="36"/>
    </w:p>
    <w:p>
      <w:pPr>
        <w:pStyle w:val="Normal"/>
        <w:spacing w:lineRule="auto" w:line="240" w:before="0" w:after="0"/>
        <w:ind w:hanging="425" w:start="425" w:end="0"/>
        <w:rPr>
          <w:rFonts w:ascii="Times New Roman" w:hAnsi="Times New Roman" w:cs="Times New Roman"/>
          <w:sz w:val="24"/>
          <w:szCs w:val="24"/>
        </w:rPr>
      </w:pPr>
      <w:bookmarkStart w:id="37" w:name="Salih_2024"/>
      <w:r>
        <w:rPr>
          <w:rFonts w:cs="Times New Roman" w:ascii="Times New Roman" w:hAnsi="Times New Roman"/>
          <w:sz w:val="24"/>
          <w:szCs w:val="24"/>
        </w:rPr>
        <w:t xml:space="preserve">Salih, A. M. M., Ibrahim, H. H., &amp; Ahmed, S. I. (2024). The occurrence of noun post-modifiers in political news: A corpus-based study. </w:t>
      </w:r>
      <w:r>
        <w:rPr>
          <w:rFonts w:cs="Times New Roman" w:ascii="Times New Roman" w:hAnsi="Times New Roman"/>
          <w:i/>
          <w:sz w:val="24"/>
          <w:szCs w:val="24"/>
        </w:rPr>
        <w:t>International Journal of Social Sciences &amp; Educational Studies, 11</w:t>
      </w:r>
      <w:r>
        <w:rPr>
          <w:rFonts w:cs="Times New Roman" w:ascii="Times New Roman" w:hAnsi="Times New Roman"/>
          <w:sz w:val="24"/>
          <w:szCs w:val="24"/>
        </w:rPr>
        <w:t xml:space="preserve">(3), 64-91. </w:t>
      </w:r>
      <w:hyperlink r:id="rId25">
        <w:r>
          <w:rPr>
            <w:rStyle w:val="Hyperlink"/>
            <w:rFonts w:cs="Times New Roman" w:ascii="Times New Roman" w:hAnsi="Times New Roman"/>
            <w:sz w:val="24"/>
            <w:szCs w:val="24"/>
          </w:rPr>
          <w:t>https://doi.org/10.23918/ijsses.v11i3p64</w:t>
        </w:r>
      </w:hyperlink>
      <w:bookmarkEnd w:id="37"/>
    </w:p>
    <w:p>
      <w:pPr>
        <w:pStyle w:val="Normal"/>
        <w:spacing w:lineRule="auto" w:line="240" w:before="0" w:after="0"/>
        <w:ind w:hanging="425" w:start="425" w:end="0"/>
        <w:rPr/>
      </w:pPr>
      <w:bookmarkStart w:id="38" w:name="Sinclair_1991"/>
      <w:r>
        <w:rPr>
          <w:rFonts w:cs="Times New Roman" w:ascii="Times New Roman" w:hAnsi="Times New Roman"/>
          <w:sz w:val="24"/>
          <w:szCs w:val="24"/>
        </w:rPr>
        <w:t xml:space="preserve">Sinclair, J. (1991). </w:t>
      </w:r>
      <w:r>
        <w:rPr>
          <w:rFonts w:cs="Times New Roman" w:ascii="Times New Roman" w:hAnsi="Times New Roman"/>
          <w:i/>
          <w:sz w:val="24"/>
          <w:szCs w:val="24"/>
        </w:rPr>
        <w:t>Corpus, concordance, collocation</w:t>
      </w:r>
      <w:r>
        <w:rPr>
          <w:rFonts w:cs="Times New Roman" w:ascii="Times New Roman" w:hAnsi="Times New Roman"/>
          <w:sz w:val="24"/>
          <w:szCs w:val="24"/>
        </w:rPr>
        <w:t>. Oxford University Press.</w:t>
      </w:r>
      <w:bookmarkEnd w:id="38"/>
    </w:p>
    <w:p>
      <w:pPr>
        <w:pStyle w:val="Normal"/>
        <w:spacing w:lineRule="auto" w:line="240" w:before="0" w:after="0"/>
        <w:ind w:hanging="425" w:start="425" w:end="0"/>
        <w:rPr/>
      </w:pPr>
      <w:bookmarkStart w:id="39" w:name="Stefanowitsch_2020"/>
      <w:r>
        <w:rPr>
          <w:rFonts w:cs="Times New Roman" w:ascii="Times New Roman" w:hAnsi="Times New Roman"/>
          <w:sz w:val="24"/>
          <w:szCs w:val="24"/>
        </w:rPr>
        <w:t xml:space="preserve">Stefanowitsch, A. (2020). </w:t>
      </w:r>
      <w:r>
        <w:rPr>
          <w:rFonts w:cs="Times New Roman" w:ascii="Times New Roman" w:hAnsi="Times New Roman"/>
          <w:i/>
          <w:sz w:val="24"/>
          <w:szCs w:val="24"/>
        </w:rPr>
        <w:t>Corpus linguistics: A guide to the methodology</w:t>
      </w:r>
      <w:r>
        <w:rPr>
          <w:rFonts w:cs="Times New Roman" w:ascii="Times New Roman" w:hAnsi="Times New Roman"/>
          <w:sz w:val="24"/>
          <w:szCs w:val="24"/>
        </w:rPr>
        <w:t>. Language Science Press.</w:t>
      </w:r>
      <w:bookmarkEnd w:id="39"/>
    </w:p>
    <w:p>
      <w:pPr>
        <w:pStyle w:val="Normal"/>
        <w:spacing w:lineRule="auto" w:line="240" w:before="0" w:after="0"/>
        <w:ind w:hanging="425" w:start="425" w:end="0"/>
        <w:rPr>
          <w:rFonts w:ascii="Times New Roman" w:hAnsi="Times New Roman" w:cs="Times New Roman"/>
          <w:sz w:val="24"/>
          <w:szCs w:val="24"/>
        </w:rPr>
      </w:pPr>
      <w:bookmarkStart w:id="40" w:name="Valdeon_2025"/>
      <w:r>
        <w:rPr>
          <w:rFonts w:cs="Times New Roman" w:ascii="Times New Roman" w:hAnsi="Times New Roman"/>
          <w:sz w:val="24"/>
          <w:szCs w:val="24"/>
        </w:rPr>
        <w:t xml:space="preserve">Valdeón, R. A. (2025). Journalistic translation research twenty-five years on: Methods, topics, and prospects. </w:t>
      </w:r>
      <w:r>
        <w:rPr>
          <w:rFonts w:cs="Times New Roman" w:ascii="Times New Roman" w:hAnsi="Times New Roman"/>
          <w:i/>
          <w:sz w:val="24"/>
          <w:szCs w:val="24"/>
        </w:rPr>
        <w:t>Perspectives: Studies in Translation Theory and Practice, 33</w:t>
      </w:r>
      <w:r>
        <w:rPr>
          <w:rFonts w:cs="Times New Roman" w:ascii="Times New Roman" w:hAnsi="Times New Roman"/>
          <w:sz w:val="24"/>
          <w:szCs w:val="24"/>
        </w:rPr>
        <w:t xml:space="preserve">(4), 635-653. </w:t>
      </w:r>
      <w:hyperlink r:id="rId26">
        <w:r>
          <w:rPr>
            <w:rStyle w:val="Hyperlink"/>
            <w:rFonts w:cs="Times New Roman" w:ascii="Times New Roman" w:hAnsi="Times New Roman"/>
            <w:sz w:val="24"/>
            <w:szCs w:val="24"/>
          </w:rPr>
          <w:t>https://doi.org/10.1080/0907676X.2025.2516364</w:t>
        </w:r>
      </w:hyperlink>
      <w:bookmarkEnd w:id="40"/>
    </w:p>
    <w:p>
      <w:pPr>
        <w:pStyle w:val="Normal"/>
        <w:spacing w:lineRule="auto" w:line="240" w:before="0" w:after="0"/>
        <w:ind w:hanging="425" w:start="425" w:end="0"/>
        <w:rPr/>
      </w:pPr>
      <w:bookmarkStart w:id="41" w:name="von_Heusinger_2002"/>
      <w:r>
        <w:rPr>
          <w:rFonts w:cs="Times New Roman" w:ascii="Times New Roman" w:hAnsi="Times New Roman"/>
          <w:sz w:val="24"/>
          <w:szCs w:val="24"/>
        </w:rPr>
        <w:t xml:space="preserve">von Heusinger, K. (2002). Specificity and definiteness in sentence and discourse structure. </w:t>
      </w:r>
      <w:r>
        <w:rPr>
          <w:rFonts w:cs="Times New Roman" w:ascii="Times New Roman" w:hAnsi="Times New Roman"/>
          <w:i/>
          <w:sz w:val="24"/>
          <w:szCs w:val="24"/>
        </w:rPr>
        <w:t>Journal of Semantics, 19</w:t>
      </w:r>
      <w:r>
        <w:rPr>
          <w:rFonts w:cs="Times New Roman" w:ascii="Times New Roman" w:hAnsi="Times New Roman"/>
          <w:sz w:val="24"/>
          <w:szCs w:val="24"/>
        </w:rPr>
        <w:t>(3), 245-274.</w:t>
      </w:r>
      <w:bookmarkEnd w:id="41"/>
      <w:r>
        <w:br w:type="page"/>
      </w:r>
    </w:p>
    <w:p>
      <w:pPr>
        <w:pStyle w:val="Heading1"/>
        <w:spacing w:lineRule="auto" w:line="240" w:before="280" w:after="0"/>
        <w:ind w:hanging="0" w:start="0"/>
        <w:jc w:val="center"/>
        <w:rPr>
          <w:rFonts w:ascii="Times New Roman" w:hAnsi="Times New Roman" w:cs="Times New Roman"/>
        </w:rPr>
      </w:pPr>
      <w:r>
        <w:rPr>
          <w:rFonts w:eastAsia="Times New Roman" w:cs="Times New Roman" w:ascii="Times New Roman" w:hAnsi="Times New Roman"/>
          <w:sz w:val="32"/>
        </w:rPr>
        <w:t>Appendices</w:t>
      </w:r>
    </w:p>
    <w:p>
      <w:pPr>
        <w:pStyle w:val="Heading2"/>
        <w:spacing w:lineRule="auto" w:line="240" w:before="280" w:after="0"/>
        <w:ind w:hanging="0" w:start="0"/>
        <w:jc w:val="center"/>
        <w:rPr>
          <w:rFonts w:ascii="Times New Roman" w:hAnsi="Times New Roman" w:cs="Times New Roman"/>
        </w:rPr>
      </w:pPr>
      <w:r>
        <w:rPr>
          <w:rFonts w:eastAsia="Times New Roman" w:cs="Times New Roman" w:ascii="Times New Roman" w:hAnsi="Times New Roman"/>
          <w:sz w:val="32"/>
        </w:rPr>
        <w:t>Appendix A: Semantic Coding Framework</w:t>
      </w:r>
    </w:p>
    <w:p>
      <w:pPr>
        <w:pStyle w:val="Normal"/>
        <w:spacing w:lineRule="auto" w:line="240" w:before="0" w:after="0"/>
        <w:ind w:firstLine="567" w:end="0"/>
        <w:jc w:val="both"/>
        <w:rPr/>
      </w:pPr>
      <w:r>
        <w:rPr>
          <w:rFonts w:cs="Times New Roman" w:ascii="Times New Roman" w:hAnsi="Times New Roman"/>
        </w:rPr>
        <w:t>The definitions described in the methodology and inter-coder form were used throughout the semantic reference coding framework.</w:t>
      </w:r>
    </w:p>
    <w:p>
      <w:pPr>
        <w:pStyle w:val="Normal"/>
        <w:keepNext w:val="true"/>
        <w:spacing w:lineRule="auto" w:line="240" w:before="280" w:after="160"/>
        <w:rPr/>
      </w:pPr>
      <w:r>
        <w:rPr>
          <w:rFonts w:cs="Times New Roman" w:ascii="Times New Roman" w:hAnsi="Times New Roman"/>
          <w:b/>
        </w:rPr>
        <w:t>Appendix Table A1:</w:t>
      </w:r>
      <w:r>
        <w:rPr/>
        <w:t xml:space="preserve"> Semantic Coding Framework</w:t>
      </w:r>
    </w:p>
    <w:tbl>
      <w:tblPr>
        <w:tblW w:w="9222" w:type="dxa"/>
        <w:jc w:val="center"/>
        <w:tblInd w:w="0" w:type="dxa"/>
        <w:tblLayout w:type="fixed"/>
        <w:tblCellMar>
          <w:top w:w="45" w:type="dxa"/>
          <w:start w:w="50" w:type="dxa"/>
          <w:bottom w:w="45" w:type="dxa"/>
          <w:end w:w="50" w:type="dxa"/>
        </w:tblCellMar>
      </w:tblPr>
      <w:tblGrid>
        <w:gridCol w:w="2265"/>
        <w:gridCol w:w="2321"/>
        <w:gridCol w:w="2306"/>
        <w:gridCol w:w="2330"/>
      </w:tblGrid>
      <w:tr>
        <w:trPr>
          <w:tblHeader w:val="true"/>
        </w:trPr>
        <w:tc>
          <w:tcPr>
            <w:tcW w:w="2265"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b/>
                <w:sz w:val="21"/>
                <w:szCs w:val="24"/>
              </w:rPr>
              <w:t>Code</w:t>
            </w:r>
          </w:p>
        </w:tc>
        <w:tc>
          <w:tcPr>
            <w:tcW w:w="2321"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b/>
                <w:sz w:val="21"/>
                <w:szCs w:val="24"/>
              </w:rPr>
              <w:t>Dimension</w:t>
            </w:r>
          </w:p>
        </w:tc>
        <w:tc>
          <w:tcPr>
            <w:tcW w:w="2306"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b/>
                <w:sz w:val="21"/>
                <w:szCs w:val="24"/>
              </w:rPr>
              <w:t>Reference name</w:t>
            </w:r>
          </w:p>
        </w:tc>
        <w:tc>
          <w:tcPr>
            <w:tcW w:w="2330"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szCs w:val="24"/>
              </w:rPr>
            </w:pPr>
            <w:r>
              <w:rPr>
                <w:rFonts w:cs="Times New Roman" w:ascii="Times New Roman" w:hAnsi="Times New Roman"/>
                <w:b/>
                <w:sz w:val="21"/>
                <w:szCs w:val="24"/>
              </w:rPr>
              <w:t>Definition</w:t>
            </w:r>
          </w:p>
        </w:tc>
      </w:tr>
      <w:tr>
        <w:trPr/>
        <w:tc>
          <w:tcPr>
            <w:tcW w:w="2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1</w:t>
            </w:r>
          </w:p>
        </w:tc>
        <w:tc>
          <w:tcPr>
            <w:tcW w:w="23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Genericity</w:t>
            </w:r>
          </w:p>
        </w:tc>
        <w:tc>
          <w:tcPr>
            <w:tcW w:w="2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Generic reference</w:t>
            </w:r>
          </w:p>
        </w:tc>
        <w:tc>
          <w:tcPr>
            <w:tcW w:w="23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Class, kind, domain, or general concept</w:t>
            </w:r>
          </w:p>
        </w:tc>
      </w:tr>
      <w:tr>
        <w:trPr/>
        <w:tc>
          <w:tcPr>
            <w:tcW w:w="2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2</w:t>
            </w:r>
          </w:p>
        </w:tc>
        <w:tc>
          <w:tcPr>
            <w:tcW w:w="23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Genericity</w:t>
            </w:r>
          </w:p>
        </w:tc>
        <w:tc>
          <w:tcPr>
            <w:tcW w:w="2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Non-generic reference</w:t>
            </w:r>
          </w:p>
        </w:tc>
        <w:tc>
          <w:tcPr>
            <w:tcW w:w="23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Particular situation, event, entity, dataset, or context-bound referent</w:t>
            </w:r>
          </w:p>
        </w:tc>
      </w:tr>
      <w:tr>
        <w:trPr/>
        <w:tc>
          <w:tcPr>
            <w:tcW w:w="2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3</w:t>
            </w:r>
          </w:p>
        </w:tc>
        <w:tc>
          <w:tcPr>
            <w:tcW w:w="23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Specificity</w:t>
            </w:r>
          </w:p>
        </w:tc>
        <w:tc>
          <w:tcPr>
            <w:tcW w:w="2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Specific reference</w:t>
            </w:r>
          </w:p>
        </w:tc>
        <w:tc>
          <w:tcPr>
            <w:tcW w:w="23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Particular identifiable entity, event, institution, indicator, or amount</w:t>
            </w:r>
          </w:p>
        </w:tc>
      </w:tr>
      <w:tr>
        <w:trPr/>
        <w:tc>
          <w:tcPr>
            <w:tcW w:w="2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4</w:t>
            </w:r>
          </w:p>
        </w:tc>
        <w:tc>
          <w:tcPr>
            <w:tcW w:w="23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Specificity</w:t>
            </w:r>
          </w:p>
        </w:tc>
        <w:tc>
          <w:tcPr>
            <w:tcW w:w="2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Non-specific reference</w:t>
            </w:r>
          </w:p>
        </w:tc>
        <w:tc>
          <w:tcPr>
            <w:tcW w:w="23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Hypothetical, predictive, abstract, evaluative, general, or not a concrete instance</w:t>
            </w:r>
          </w:p>
        </w:tc>
      </w:tr>
      <w:tr>
        <w:trPr/>
        <w:tc>
          <w:tcPr>
            <w:tcW w:w="2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5</w:t>
            </w:r>
          </w:p>
        </w:tc>
        <w:tc>
          <w:tcPr>
            <w:tcW w:w="23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Definiteness</w:t>
            </w:r>
          </w:p>
        </w:tc>
        <w:tc>
          <w:tcPr>
            <w:tcW w:w="2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Definite reference</w:t>
            </w:r>
          </w:p>
        </w:tc>
        <w:tc>
          <w:tcPr>
            <w:tcW w:w="23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Identifiable, unique, previously mentioned, or contextually known</w:t>
            </w:r>
          </w:p>
        </w:tc>
      </w:tr>
      <w:tr>
        <w:trPr/>
        <w:tc>
          <w:tcPr>
            <w:tcW w:w="2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6</w:t>
            </w:r>
          </w:p>
        </w:tc>
        <w:tc>
          <w:tcPr>
            <w:tcW w:w="23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Definiteness</w:t>
            </w:r>
          </w:p>
        </w:tc>
        <w:tc>
          <w:tcPr>
            <w:tcW w:w="2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Non-definite reference</w:t>
            </w:r>
          </w:p>
        </w:tc>
        <w:tc>
          <w:tcPr>
            <w:tcW w:w="23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szCs w:val="24"/>
              </w:rPr>
            </w:pPr>
            <w:r>
              <w:rPr>
                <w:rFonts w:cs="Times New Roman" w:ascii="Times New Roman" w:hAnsi="Times New Roman"/>
                <w:sz w:val="21"/>
                <w:szCs w:val="24"/>
              </w:rPr>
              <w:t>Introduced, open, nonspecific, or not uniquely identifiable in context</w:t>
            </w:r>
          </w:p>
        </w:tc>
      </w:tr>
    </w:tbl>
    <w:p>
      <w:pPr>
        <w:pStyle w:val="Heading2"/>
        <w:spacing w:lineRule="auto" w:line="240" w:before="280" w:after="0"/>
        <w:ind w:hanging="0" w:start="0"/>
        <w:jc w:val="center"/>
        <w:rPr>
          <w:rFonts w:ascii="Times New Roman" w:hAnsi="Times New Roman" w:cs="Times New Roman"/>
        </w:rPr>
      </w:pPr>
      <w:r>
        <w:br w:type="page"/>
      </w:r>
      <w:r>
        <w:rPr>
          <w:rFonts w:eastAsia="Times New Roman" w:cs="Times New Roman" w:ascii="Times New Roman" w:hAnsi="Times New Roman"/>
          <w:sz w:val="32"/>
        </w:rPr>
        <w:t>Appendix B: Sample Coding Table</w:t>
      </w:r>
    </w:p>
    <w:p>
      <w:pPr>
        <w:pStyle w:val="Normal"/>
        <w:spacing w:lineRule="auto" w:line="240" w:before="0" w:after="0"/>
        <w:ind w:firstLine="567" w:end="0"/>
        <w:jc w:val="both"/>
        <w:rPr>
          <w:rFonts w:ascii="Times New Roman" w:hAnsi="Times New Roman" w:cs="Times New Roman"/>
        </w:rPr>
      </w:pPr>
      <w:r>
        <w:rPr>
          <w:rFonts w:cs="Times New Roman" w:ascii="Times New Roman" w:hAnsi="Times New Roman"/>
        </w:rPr>
        <w:t>The format of the semantic coding table is shown in the following extract. The complete RQ2 dataset contains 2,000 coded samples.</w:t>
      </w:r>
    </w:p>
    <w:p>
      <w:pPr>
        <w:pStyle w:val="Normal"/>
        <w:keepNext w:val="true"/>
        <w:spacing w:lineRule="auto" w:line="240" w:before="280" w:after="160"/>
        <w:rPr/>
      </w:pPr>
      <w:r>
        <w:rPr>
          <w:rFonts w:cs="Times New Roman" w:ascii="Times New Roman" w:hAnsi="Times New Roman"/>
          <w:b/>
        </w:rPr>
        <w:t>Appendix Table B1:</w:t>
      </w:r>
      <w:r>
        <w:rPr>
          <w:rFonts w:cs="Times New Roman" w:ascii="Times New Roman" w:hAnsi="Times New Roman"/>
        </w:rPr>
        <w:t xml:space="preserve"> Sample Semantic Co</w:t>
      </w:r>
      <w:r>
        <w:rPr/>
        <w:t>ding Extract</w:t>
      </w:r>
    </w:p>
    <w:tbl>
      <w:tblPr>
        <w:tblW w:w="9222" w:type="dxa"/>
        <w:jc w:val="center"/>
        <w:tblInd w:w="0" w:type="dxa"/>
        <w:tblLayout w:type="fixed"/>
        <w:tblCellMar>
          <w:top w:w="45" w:type="dxa"/>
          <w:start w:w="50" w:type="dxa"/>
          <w:bottom w:w="45" w:type="dxa"/>
          <w:end w:w="50" w:type="dxa"/>
        </w:tblCellMar>
      </w:tblPr>
      <w:tblGrid>
        <w:gridCol w:w="758"/>
        <w:gridCol w:w="908"/>
        <w:gridCol w:w="1089"/>
        <w:gridCol w:w="1049"/>
        <w:gridCol w:w="1122"/>
        <w:gridCol w:w="1115"/>
        <w:gridCol w:w="1202"/>
        <w:gridCol w:w="1979"/>
      </w:tblGrid>
      <w:tr>
        <w:trPr>
          <w:tblHeader w:val="true"/>
        </w:trPr>
        <w:tc>
          <w:tcPr>
            <w:tcW w:w="758"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No.</w:t>
            </w:r>
          </w:p>
        </w:tc>
        <w:tc>
          <w:tcPr>
            <w:tcW w:w="908"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Outlet</w:t>
            </w:r>
          </w:p>
        </w:tc>
        <w:tc>
          <w:tcPr>
            <w:tcW w:w="108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Noun phrase</w:t>
            </w:r>
          </w:p>
        </w:tc>
        <w:tc>
          <w:tcPr>
            <w:tcW w:w="104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Article type</w:t>
            </w:r>
          </w:p>
        </w:tc>
        <w:tc>
          <w:tcPr>
            <w:tcW w:w="1122"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Genericity</w:t>
            </w:r>
          </w:p>
        </w:tc>
        <w:tc>
          <w:tcPr>
            <w:tcW w:w="1115"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Specificity</w:t>
            </w:r>
          </w:p>
        </w:tc>
        <w:tc>
          <w:tcPr>
            <w:tcW w:w="1202"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Definiteness</w:t>
            </w:r>
          </w:p>
        </w:tc>
        <w:tc>
          <w:tcPr>
            <w:tcW w:w="197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Reason</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euro currency union</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context-bound institutional/economic entity joined by Bulgaria.</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European Union's shared currency area</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uniquely identifiable economic area specified by the phrase.</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eurozone</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named economic region identifiable to readers.</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4</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Federal Reserve</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unique institution in the economic-news context.</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economy</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phrase refers to the economy discussed in the article context.</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long-standing national goal</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Indefinite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particular goal achieved by Bulgaria is introduced.</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7</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common currency</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Indefinite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particular currency arrangement in the eurozone context is introduced.</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8</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growing economy</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Indefinite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possible economic condition is discussed rather than a concrete instance.</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9</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significant increase</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Indefinite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particular reported increase is introduced in the sentence.</w:t>
            </w:r>
          </w:p>
        </w:tc>
      </w:tr>
      <w:tr>
        <w:trPr/>
        <w:tc>
          <w:tcPr>
            <w:tcW w:w="7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10</w:t>
            </w:r>
          </w:p>
        </w:tc>
        <w:tc>
          <w:tcPr>
            <w:tcW w:w="9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 potential listing</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Indefinite article</w:t>
            </w:r>
          </w:p>
        </w:tc>
        <w:tc>
          <w:tcPr>
            <w:tcW w:w="11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Non-generic</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Non-specific</w:t>
            </w:r>
          </w:p>
        </w:tc>
        <w:tc>
          <w:tcPr>
            <w:tcW w:w="12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Non-definite</w:t>
            </w:r>
          </w:p>
        </w:tc>
        <w:tc>
          <w:tcPr>
            <w:tcW w:w="1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phrase refers to a possible future listing rather than an actualized instance.</w:t>
            </w:r>
          </w:p>
        </w:tc>
      </w:tr>
    </w:tbl>
    <w:p>
      <w:pPr>
        <w:pStyle w:val="Heading2"/>
        <w:spacing w:lineRule="auto" w:line="240" w:before="280" w:after="0"/>
        <w:ind w:hanging="0" w:start="0"/>
        <w:jc w:val="center"/>
        <w:rPr>
          <w:rFonts w:ascii="Times New Roman" w:hAnsi="Times New Roman" w:cs="Times New Roman"/>
        </w:rPr>
      </w:pPr>
      <w:r>
        <w:br w:type="page"/>
      </w:r>
      <w:r>
        <w:rPr>
          <w:rFonts w:eastAsia="Times New Roman" w:cs="Times New Roman" w:ascii="Times New Roman" w:hAnsi="Times New Roman"/>
          <w:sz w:val="32"/>
        </w:rPr>
        <w:t>Appendix C: Inter-Coder Reliability Summary</w:t>
      </w:r>
    </w:p>
    <w:p>
      <w:pPr>
        <w:pStyle w:val="Normal"/>
        <w:keepNext w:val="true"/>
        <w:spacing w:lineRule="auto" w:line="240" w:before="280" w:after="160"/>
        <w:rPr/>
      </w:pPr>
      <w:r>
        <w:rPr>
          <w:rFonts w:cs="Times New Roman" w:ascii="Times New Roman" w:hAnsi="Times New Roman"/>
          <w:b/>
        </w:rPr>
        <w:t>Appendix Table C1:</w:t>
      </w:r>
      <w:r>
        <w:rPr>
          <w:rFonts w:cs="Times New Roman" w:ascii="Times New Roman" w:hAnsi="Times New Roman"/>
        </w:rPr>
        <w:t xml:space="preserve"> Pairwise Inter-Coder Similarity</w:t>
      </w:r>
    </w:p>
    <w:p>
      <w:pPr>
        <w:pStyle w:val="Normal"/>
        <w:keepNext w:val="true"/>
        <w:spacing w:lineRule="auto" w:line="240" w:before="280" w:after="160"/>
        <w:rPr/>
      </w:pPr>
      <w:r>
        <w:rPr>
          <w:rFonts w:cs="Times New Roman" w:ascii="Times New Roman" w:hAnsi="Times New Roman"/>
          <w:b/>
        </w:rPr>
        <w:t>Appendix Table C2:</w:t>
      </w:r>
      <w:r>
        <w:rPr/>
        <w:t xml:space="preserve"> Reliability by Semantic Dimension</w:t>
      </w:r>
    </w:p>
    <w:tbl>
      <w:tblPr>
        <w:tblW w:w="9222" w:type="dxa"/>
        <w:jc w:val="center"/>
        <w:tblInd w:w="0" w:type="dxa"/>
        <w:tblLayout w:type="fixed"/>
        <w:tblCellMar>
          <w:top w:w="45" w:type="dxa"/>
          <w:start w:w="50" w:type="dxa"/>
          <w:bottom w:w="45" w:type="dxa"/>
          <w:end w:w="50" w:type="dxa"/>
        </w:tblCellMar>
      </w:tblPr>
      <w:tblGrid>
        <w:gridCol w:w="1863"/>
        <w:gridCol w:w="448"/>
        <w:gridCol w:w="1362"/>
        <w:gridCol w:w="916"/>
        <w:gridCol w:w="928"/>
        <w:gridCol w:w="1400"/>
        <w:gridCol w:w="454"/>
        <w:gridCol w:w="1851"/>
      </w:tblGrid>
      <w:tr>
        <w:trPr>
          <w:tblHeader w:val="true"/>
        </w:trPr>
        <w:tc>
          <w:tcPr>
            <w:tcW w:w="2311" w:type="dxa"/>
            <w:gridSpan w:val="2"/>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Dimension</w:t>
            </w:r>
          </w:p>
        </w:tc>
        <w:tc>
          <w:tcPr>
            <w:tcW w:w="2278" w:type="dxa"/>
            <w:gridSpan w:val="2"/>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Fleiss' kappa</w:t>
            </w:r>
          </w:p>
        </w:tc>
        <w:tc>
          <w:tcPr>
            <w:tcW w:w="2328" w:type="dxa"/>
            <w:gridSpan w:val="2"/>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Observed agreement</w:t>
            </w:r>
          </w:p>
        </w:tc>
        <w:tc>
          <w:tcPr>
            <w:tcW w:w="2305" w:type="dxa"/>
            <w:gridSpan w:val="2"/>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Expected agreement</w:t>
            </w:r>
          </w:p>
        </w:tc>
      </w:tr>
      <w:tr>
        <w:trPr/>
        <w:tc>
          <w:tcPr>
            <w:tcW w:w="231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Genericity</w:t>
            </w:r>
          </w:p>
        </w:tc>
        <w:tc>
          <w:tcPr>
            <w:tcW w:w="2278"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0.819</w:t>
            </w:r>
          </w:p>
        </w:tc>
        <w:tc>
          <w:tcPr>
            <w:tcW w:w="2328"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0.953</w:t>
            </w:r>
          </w:p>
        </w:tc>
        <w:tc>
          <w:tcPr>
            <w:tcW w:w="230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0.743</w:t>
            </w:r>
          </w:p>
        </w:tc>
      </w:tr>
      <w:tr>
        <w:trPr/>
        <w:tc>
          <w:tcPr>
            <w:tcW w:w="231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Specificity</w:t>
            </w:r>
          </w:p>
        </w:tc>
        <w:tc>
          <w:tcPr>
            <w:tcW w:w="2278"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0.825</w:t>
            </w:r>
          </w:p>
        </w:tc>
        <w:tc>
          <w:tcPr>
            <w:tcW w:w="2328"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0.933</w:t>
            </w:r>
          </w:p>
        </w:tc>
        <w:tc>
          <w:tcPr>
            <w:tcW w:w="230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0.618</w:t>
            </w:r>
          </w:p>
        </w:tc>
      </w:tr>
      <w:tr>
        <w:trPr/>
        <w:tc>
          <w:tcPr>
            <w:tcW w:w="231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Definiteness</w:t>
            </w:r>
          </w:p>
        </w:tc>
        <w:tc>
          <w:tcPr>
            <w:tcW w:w="2278"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1.00</w:t>
            </w:r>
          </w:p>
        </w:tc>
        <w:tc>
          <w:tcPr>
            <w:tcW w:w="2328"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1.00</w:t>
            </w:r>
          </w:p>
        </w:tc>
        <w:tc>
          <w:tcPr>
            <w:tcW w:w="230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0.500</w:t>
            </w:r>
          </w:p>
        </w:tc>
      </w:tr>
      <w:tr>
        <w:trPr/>
        <w:tc>
          <w:tcPr>
            <w:tcW w:w="1863"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Pair</w:t>
            </w:r>
          </w:p>
        </w:tc>
        <w:tc>
          <w:tcPr>
            <w:tcW w:w="1810" w:type="dxa"/>
            <w:gridSpan w:val="2"/>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Same cells</w:t>
            </w:r>
          </w:p>
        </w:tc>
        <w:tc>
          <w:tcPr>
            <w:tcW w:w="1844" w:type="dxa"/>
            <w:gridSpan w:val="2"/>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Different cells</w:t>
            </w:r>
          </w:p>
        </w:tc>
        <w:tc>
          <w:tcPr>
            <w:tcW w:w="1854" w:type="dxa"/>
            <w:gridSpan w:val="2"/>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Similarity (%)</w:t>
            </w:r>
          </w:p>
        </w:tc>
        <w:tc>
          <w:tcPr>
            <w:tcW w:w="1851"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Overall kappa</w:t>
            </w:r>
          </w:p>
        </w:tc>
      </w:tr>
      <w:tr>
        <w:trPr/>
        <w:tc>
          <w:tcPr>
            <w:tcW w:w="1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Intercoder 1 vs Intercoder 2</w:t>
            </w:r>
          </w:p>
        </w:tc>
        <w:tc>
          <w:tcPr>
            <w:tcW w:w="181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579</w:t>
            </w:r>
          </w:p>
        </w:tc>
        <w:tc>
          <w:tcPr>
            <w:tcW w:w="184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21</w:t>
            </w:r>
          </w:p>
        </w:tc>
        <w:tc>
          <w:tcPr>
            <w:tcW w:w="185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96.50</w:t>
            </w:r>
          </w:p>
        </w:tc>
        <w:tc>
          <w:tcPr>
            <w:tcW w:w="1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0.956</w:t>
            </w:r>
          </w:p>
        </w:tc>
      </w:tr>
      <w:tr>
        <w:trPr/>
        <w:tc>
          <w:tcPr>
            <w:tcW w:w="1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Intercoder 1 vs Intercoder 3</w:t>
            </w:r>
          </w:p>
        </w:tc>
        <w:tc>
          <w:tcPr>
            <w:tcW w:w="181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575</w:t>
            </w:r>
          </w:p>
        </w:tc>
        <w:tc>
          <w:tcPr>
            <w:tcW w:w="184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25</w:t>
            </w:r>
          </w:p>
        </w:tc>
        <w:tc>
          <w:tcPr>
            <w:tcW w:w="185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95.83</w:t>
            </w:r>
          </w:p>
        </w:tc>
        <w:tc>
          <w:tcPr>
            <w:tcW w:w="1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0.947</w:t>
            </w:r>
          </w:p>
        </w:tc>
      </w:tr>
      <w:tr>
        <w:trPr/>
        <w:tc>
          <w:tcPr>
            <w:tcW w:w="1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Intercoder 2 vs Intercoder 3</w:t>
            </w:r>
          </w:p>
        </w:tc>
        <w:tc>
          <w:tcPr>
            <w:tcW w:w="181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578</w:t>
            </w:r>
          </w:p>
        </w:tc>
        <w:tc>
          <w:tcPr>
            <w:tcW w:w="184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w:t>
            </w:r>
          </w:p>
        </w:tc>
        <w:tc>
          <w:tcPr>
            <w:tcW w:w="185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96.33</w:t>
            </w:r>
          </w:p>
        </w:tc>
        <w:tc>
          <w:tcPr>
            <w:tcW w:w="1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0.954</w:t>
            </w:r>
          </w:p>
        </w:tc>
      </w:tr>
    </w:tbl>
    <w:p>
      <w:pPr>
        <w:pStyle w:val="Heading2"/>
        <w:spacing w:lineRule="auto" w:line="240" w:before="280" w:after="0"/>
        <w:ind w:hanging="0" w:start="0"/>
        <w:jc w:val="center"/>
        <w:rPr>
          <w:rFonts w:ascii="Times New Roman" w:hAnsi="Times New Roman" w:cs="Times New Roman"/>
        </w:rPr>
      </w:pPr>
      <w:r>
        <w:br w:type="page"/>
      </w:r>
      <w:r>
        <w:rPr>
          <w:rFonts w:eastAsia="Times New Roman" w:cs="Times New Roman" w:ascii="Times New Roman" w:hAnsi="Times New Roman"/>
          <w:sz w:val="32"/>
        </w:rPr>
        <w:t>Appendix D: Corpus Frequency Tables</w:t>
      </w:r>
    </w:p>
    <w:p>
      <w:pPr>
        <w:pStyle w:val="Normal"/>
        <w:keepNext w:val="true"/>
        <w:spacing w:lineRule="auto" w:line="240" w:before="280" w:after="160"/>
        <w:rPr/>
      </w:pPr>
      <w:r>
        <w:rPr>
          <w:rFonts w:cs="Times New Roman" w:ascii="Times New Roman" w:hAnsi="Times New Roman"/>
          <w:b/>
        </w:rPr>
        <w:t>Appendix Table D1:</w:t>
      </w:r>
      <w:r>
        <w:rPr/>
        <w:t xml:space="preserve"> Corpus Frequency Table by Outlet</w:t>
      </w:r>
    </w:p>
    <w:tbl>
      <w:tblPr>
        <w:tblW w:w="9222" w:type="dxa"/>
        <w:jc w:val="center"/>
        <w:tblInd w:w="0" w:type="dxa"/>
        <w:tblLayout w:type="fixed"/>
        <w:tblCellMar>
          <w:top w:w="45" w:type="dxa"/>
          <w:start w:w="50" w:type="dxa"/>
          <w:bottom w:w="45" w:type="dxa"/>
          <w:end w:w="50" w:type="dxa"/>
        </w:tblCellMar>
      </w:tblPr>
      <w:tblGrid>
        <w:gridCol w:w="1079"/>
        <w:gridCol w:w="1031"/>
        <w:gridCol w:w="997"/>
        <w:gridCol w:w="997"/>
        <w:gridCol w:w="969"/>
        <w:gridCol w:w="997"/>
        <w:gridCol w:w="1062"/>
        <w:gridCol w:w="1062"/>
        <w:gridCol w:w="1028"/>
      </w:tblGrid>
      <w:tr>
        <w:trPr>
          <w:tblHeader w:val="true"/>
        </w:trPr>
        <w:tc>
          <w:tcPr>
            <w:tcW w:w="107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Outlet</w:t>
            </w:r>
          </w:p>
        </w:tc>
        <w:tc>
          <w:tcPr>
            <w:tcW w:w="1031"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Tokens</w:t>
            </w:r>
          </w:p>
        </w:tc>
        <w:tc>
          <w:tcPr>
            <w:tcW w:w="997"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i/>
                <w:sz w:val="21"/>
              </w:rPr>
              <w:t>the</w:t>
            </w:r>
          </w:p>
        </w:tc>
        <w:tc>
          <w:tcPr>
            <w:tcW w:w="997"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i/>
                <w:sz w:val="21"/>
              </w:rPr>
              <w:t>a</w:t>
            </w:r>
          </w:p>
        </w:tc>
        <w:tc>
          <w:tcPr>
            <w:tcW w:w="969"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i/>
                <w:sz w:val="21"/>
              </w:rPr>
              <w:t>an</w:t>
            </w:r>
          </w:p>
        </w:tc>
        <w:tc>
          <w:tcPr>
            <w:tcW w:w="997"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i/>
                <w:sz w:val="21"/>
              </w:rPr>
              <w:t>a/an</w:t>
            </w:r>
          </w:p>
        </w:tc>
        <w:tc>
          <w:tcPr>
            <w:tcW w:w="1062"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the per million</w:t>
            </w:r>
          </w:p>
        </w:tc>
        <w:tc>
          <w:tcPr>
            <w:tcW w:w="1062"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a/</w:t>
            </w:r>
            <w:r>
              <w:rPr>
                <w:rFonts w:cs="Times New Roman" w:ascii="Times New Roman" w:hAnsi="Times New Roman"/>
                <w:b/>
                <w:i/>
                <w:sz w:val="21"/>
              </w:rPr>
              <w:t>an</w:t>
            </w:r>
            <w:r>
              <w:rPr>
                <w:rFonts w:cs="Times New Roman" w:ascii="Times New Roman" w:hAnsi="Times New Roman"/>
                <w:b/>
                <w:sz w:val="21"/>
              </w:rPr>
              <w:t xml:space="preserve"> per million</w:t>
            </w:r>
          </w:p>
        </w:tc>
        <w:tc>
          <w:tcPr>
            <w:tcW w:w="1028" w:type="dxa"/>
            <w:tcBorders>
              <w:top w:val="single" w:sz="4" w:space="0" w:color="000000"/>
              <w:start w:val="single" w:sz="4" w:space="0" w:color="000000"/>
              <w:bottom w:val="single" w:sz="4" w:space="0" w:color="000000"/>
              <w:end w:val="single" w:sz="4" w:space="0" w:color="000000"/>
            </w:tcBorders>
            <w:shd w:fill="D9EAF7" w:val="clear"/>
            <w:vAlign w:val="center"/>
          </w:tcPr>
          <w:p>
            <w:pPr>
              <w:pStyle w:val="Normal"/>
              <w:spacing w:lineRule="auto" w:line="240" w:before="0" w:after="0"/>
              <w:jc w:val="center"/>
              <w:rPr>
                <w:rFonts w:ascii="Times New Roman" w:hAnsi="Times New Roman" w:cs="Times New Roman"/>
              </w:rPr>
            </w:pPr>
            <w:r>
              <w:rPr>
                <w:rFonts w:cs="Times New Roman" w:ascii="Times New Roman" w:hAnsi="Times New Roman"/>
                <w:b/>
                <w:sz w:val="21"/>
              </w:rPr>
              <w:t>the share</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AP</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117,779</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5,926</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2,129</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310</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2,439</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50,314.57</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20,708.28</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70.84%</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BBC</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117,478</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6,408</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1,880</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336</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2,216</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54,546.38</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18,863.11</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74.30%</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CNN</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118,407</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5,716</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2,351</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356</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2,707</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48,274.17</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22,861.82</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67.86%</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Reuters</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118,858</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5,624</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2,135</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312</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2,447</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47,316.97</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20,587.59</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69.68%</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Guardian</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117,662</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6,680</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2,272</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346</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2,618</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56,772.79</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22,250.17</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71.84%</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Bloomberg</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116,116</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6,366</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2,262</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348</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2,610</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54,824.49</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22,477.52</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70.92%</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CNBC</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119,102</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6,100</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2,117</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325</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2,442</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51,216.60</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20,503.43</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71.41%</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Wall Street Journal</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116,598</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5,991</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2,290</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391</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2,681</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51,381.67</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22,993.53</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69.08%</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New York Times</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115,795</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6,018</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2,405</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377</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2,782</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51,971.16</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24,025.22</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68.39%</w:t>
            </w:r>
          </w:p>
        </w:tc>
      </w:tr>
      <w:tr>
        <w:trPr/>
        <w:tc>
          <w:tcPr>
            <w:tcW w:w="10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The Telegraph</w:t>
            </w:r>
          </w:p>
        </w:tc>
        <w:tc>
          <w:tcPr>
            <w:tcW w:w="103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117,098</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6,482</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2,073</w:t>
            </w:r>
          </w:p>
        </w:tc>
        <w:tc>
          <w:tcPr>
            <w:tcW w:w="9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353</w:t>
            </w:r>
          </w:p>
        </w:tc>
        <w:tc>
          <w:tcPr>
            <w:tcW w:w="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2,426</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55,355.34</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20,717.69</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Times New Roman" w:hAnsi="Times New Roman" w:cs="Times New Roman"/>
              </w:rPr>
            </w:pPr>
            <w:r>
              <w:rPr>
                <w:rFonts w:cs="Times New Roman" w:ascii="Times New Roman" w:hAnsi="Times New Roman"/>
                <w:sz w:val="21"/>
              </w:rPr>
              <w:t>72.77%</w:t>
            </w:r>
          </w:p>
        </w:tc>
      </w:tr>
    </w:tbl>
    <w:p>
      <w:pPr>
        <w:pStyle w:val="Normal"/>
        <w:spacing w:lineRule="auto" w:line="240" w:before="280" w:after="0"/>
        <w:jc w:val="center"/>
        <w:rPr>
          <w:rFonts w:ascii="Times New Roman" w:hAnsi="Times New Roman" w:cs="Times New Roman"/>
        </w:rPr>
      </w:pPr>
      <w:r>
        <w:rPr>
          <w:rFonts w:cs="Times New Roman" w:ascii="Times New Roman" w:hAnsi="Times New Roman"/>
          <w:b/>
          <w:sz w:val="32"/>
        </w:rPr>
        <w:t>Appendix E: Sample of Sketch Engine Random Sampling Procedure</w:t>
      </w:r>
    </w:p>
    <w:p>
      <w:pPr>
        <w:pStyle w:val="Normal"/>
        <w:spacing w:lineRule="auto" w:line="240" w:before="0" w:after="0"/>
        <w:ind w:firstLine="567" w:end="0"/>
        <w:jc w:val="both"/>
        <w:rPr/>
      </w:pPr>
      <w:r>
        <w:rPr>
          <w:rFonts w:cs="Times New Roman" w:ascii="Times New Roman" w:hAnsi="Times New Roman"/>
        </w:rPr>
        <w:t>Screenshots of the Sketch Engine random sampling process used for the second research question are shown in this appendix. The example comes from The Wall Street Journal and displays the 200 concordance lines selected for article-based semantic coding. Only representative pages are shown to document the sampling procedure without reproducing full copyrighted articles.</w:t>
      </w:r>
    </w:p>
    <w:p>
      <w:pPr>
        <w:pStyle w:val="Normal"/>
        <w:spacing w:lineRule="auto" w:line="240" w:before="280" w:after="160"/>
        <w:rPr/>
      </w:pPr>
      <w:r>
        <w:rPr>
          <w:rFonts w:cs="Times New Roman" w:ascii="Times New Roman" w:hAnsi="Times New Roman"/>
          <w:b/>
        </w:rPr>
        <w:t>Appendix Figure E1:</w:t>
      </w:r>
      <w:r>
        <w:rPr>
          <w:rFonts w:cs="Times New Roman" w:ascii="Times New Roman" w:hAnsi="Times New Roman"/>
        </w:rPr>
        <w:t xml:space="preserve"> Sketch Engine random sample showing the Sample 200 setting and the first concordance lines.</w:t>
      </w:r>
    </w:p>
    <w:p>
      <w:pPr>
        <w:pStyle w:val="Normal"/>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070475" cy="65620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7"/>
                    <a:srcRect l="-3" t="-2" r="-3" b="-2"/>
                    <a:stretch>
                      <a:fillRect/>
                    </a:stretch>
                  </pic:blipFill>
                  <pic:spPr bwMode="auto">
                    <a:xfrm>
                      <a:off x="0" y="0"/>
                      <a:ext cx="5070475" cy="6562090"/>
                    </a:xfrm>
                    <a:prstGeom prst="rect">
                      <a:avLst/>
                    </a:prstGeom>
                    <a:noFill/>
                  </pic:spPr>
                </pic:pic>
              </a:graphicData>
            </a:graphic>
          </wp:inline>
        </w:drawing>
      </w:r>
    </w:p>
    <w:p>
      <w:pPr>
        <w:pStyle w:val="Normal"/>
        <w:spacing w:lineRule="auto" w:line="240" w:before="280" w:after="160"/>
        <w:rPr/>
      </w:pPr>
      <w:r>
        <w:rPr>
          <w:rFonts w:cs="Times New Roman" w:ascii="Times New Roman" w:hAnsi="Times New Roman"/>
          <w:b/>
        </w:rPr>
        <w:t>Appendix Figure E2:</w:t>
      </w:r>
      <w:r>
        <w:rPr>
          <w:rFonts w:cs="Times New Roman" w:ascii="Times New Roman" w:hAnsi="Times New Roman"/>
        </w:rPr>
        <w:t xml:space="preserve"> Continuation of the Sketch Engine random sample concordance lines.</w:t>
      </w:r>
    </w:p>
    <w:p>
      <w:pPr>
        <w:pStyle w:val="Normal"/>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070475" cy="65620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8"/>
                    <a:srcRect l="-3" t="-2" r="-3" b="-2"/>
                    <a:stretch>
                      <a:fillRect/>
                    </a:stretch>
                  </pic:blipFill>
                  <pic:spPr bwMode="auto">
                    <a:xfrm>
                      <a:off x="0" y="0"/>
                      <a:ext cx="5070475" cy="6562090"/>
                    </a:xfrm>
                    <a:prstGeom prst="rect">
                      <a:avLst/>
                    </a:prstGeom>
                    <a:noFill/>
                  </pic:spPr>
                </pic:pic>
              </a:graphicData>
            </a:graphic>
          </wp:inline>
        </w:drawing>
      </w:r>
    </w:p>
    <w:p>
      <w:pPr>
        <w:pStyle w:val="Normal"/>
        <w:spacing w:lineRule="auto" w:line="240" w:before="280" w:after="0"/>
        <w:jc w:val="center"/>
        <w:rPr>
          <w:rFonts w:ascii="Times New Roman" w:hAnsi="Times New Roman" w:cs="Times New Roman"/>
        </w:rPr>
      </w:pPr>
      <w:r>
        <w:rPr>
          <w:rFonts w:cs="Times New Roman" w:ascii="Times New Roman" w:hAnsi="Times New Roman"/>
          <w:b/>
          <w:sz w:val="32"/>
        </w:rPr>
        <w:t>Appendix F: Sample Outlet-Level R2 Reference Coding Table</w:t>
      </w:r>
    </w:p>
    <w:p>
      <w:pPr>
        <w:pStyle w:val="Normal"/>
        <w:spacing w:lineRule="auto" w:line="240" w:before="0" w:after="0"/>
        <w:ind w:firstLine="567" w:end="0"/>
        <w:jc w:val="both"/>
        <w:rPr>
          <w:rFonts w:ascii="Times New Roman" w:hAnsi="Times New Roman" w:cs="Times New Roman"/>
        </w:rPr>
      </w:pPr>
      <w:r>
        <w:rPr>
          <w:rFonts w:cs="Times New Roman" w:ascii="Times New Roman" w:hAnsi="Times New Roman"/>
        </w:rPr>
        <w:t>A sample page from the outlet-level R2 reference coding document is provided in this appendix. The example demonstrates how the Wall Street Journal sample records original sentence context, article type, and the three semantic codes used in the analysis.</w:t>
      </w:r>
    </w:p>
    <w:p>
      <w:pPr>
        <w:pStyle w:val="Normal"/>
        <w:spacing w:lineRule="auto" w:line="240" w:before="280" w:after="160"/>
        <w:rPr/>
      </w:pPr>
      <w:r>
        <w:rPr>
          <w:rFonts w:cs="Times New Roman" w:ascii="Times New Roman" w:hAnsi="Times New Roman"/>
          <w:b/>
        </w:rPr>
        <w:t>Appendix Figure F1:</w:t>
      </w:r>
      <w:r>
        <w:rPr>
          <w:rFonts w:cs="Times New Roman" w:ascii="Times New Roman" w:hAnsi="Times New Roman"/>
        </w:rPr>
        <w:t xml:space="preserve"> Sample page from the Wall Street Journal R2 reference coding table.</w:t>
      </w:r>
    </w:p>
    <w:p>
      <w:pPr>
        <w:pStyle w:val="Normal"/>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944870" cy="45954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9"/>
                    <a:srcRect l="-4" t="-5" r="-4" b="-5"/>
                    <a:stretch>
                      <a:fillRect/>
                    </a:stretch>
                  </pic:blipFill>
                  <pic:spPr bwMode="auto">
                    <a:xfrm>
                      <a:off x="0" y="0"/>
                      <a:ext cx="5944870" cy="4595495"/>
                    </a:xfrm>
                    <a:prstGeom prst="rect">
                      <a:avLst/>
                    </a:prstGeom>
                    <a:noFill/>
                  </pic:spPr>
                </pic:pic>
              </a:graphicData>
            </a:graphic>
          </wp:inline>
        </w:drawing>
      </w:r>
    </w:p>
    <w:p>
      <w:pPr>
        <w:pStyle w:val="Normal"/>
        <w:spacing w:lineRule="auto" w:line="240" w:before="280" w:after="0"/>
        <w:jc w:val="center"/>
        <w:rPr>
          <w:rFonts w:ascii="Times New Roman" w:hAnsi="Times New Roman" w:cs="Times New Roman"/>
        </w:rPr>
      </w:pPr>
      <w:r>
        <w:rPr>
          <w:rFonts w:cs="Times New Roman" w:ascii="Times New Roman" w:hAnsi="Times New Roman"/>
          <w:b/>
          <w:sz w:val="32"/>
        </w:rPr>
        <w:t>Appendix G: Sample Inter-Coder Reliability Coding Form</w:t>
      </w:r>
    </w:p>
    <w:p>
      <w:pPr>
        <w:pStyle w:val="Normal"/>
        <w:spacing w:lineRule="auto" w:line="240" w:before="0" w:after="0"/>
        <w:ind w:firstLine="567" w:end="0"/>
        <w:jc w:val="both"/>
        <w:rPr/>
      </w:pPr>
      <w:r>
        <w:rPr>
          <w:rFonts w:cs="Times New Roman" w:ascii="Times New Roman" w:hAnsi="Times New Roman"/>
        </w:rPr>
        <w:t>Representative pages from the inter-coder reliability coding form are included in this appendix. Three anonymized intercoders used the form to assign one code to each semantic dimension: definiteness, specificity, and genericity.</w:t>
      </w:r>
    </w:p>
    <w:p>
      <w:pPr>
        <w:pStyle w:val="Normal"/>
        <w:spacing w:lineRule="auto" w:line="240" w:before="280" w:after="160"/>
        <w:rPr/>
      </w:pPr>
      <w:r>
        <w:rPr>
          <w:rFonts w:cs="Times New Roman" w:ascii="Times New Roman" w:hAnsi="Times New Roman"/>
          <w:b/>
        </w:rPr>
        <w:t>Appendix Figure G1:</w:t>
      </w:r>
      <w:r>
        <w:rPr>
          <w:rFonts w:cs="Times New Roman" w:ascii="Times New Roman" w:hAnsi="Times New Roman"/>
        </w:rPr>
        <w:t xml:space="preserve"> Inter-coder reliability form: introductory instructions, consent statement, sample design, and semantic code key.</w:t>
      </w:r>
    </w:p>
    <w:p>
      <w:pPr>
        <w:pStyle w:val="Normal"/>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949950" cy="42081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30"/>
                    <a:srcRect l="-2" t="-3" r="-2" b="-3"/>
                    <a:stretch>
                      <a:fillRect/>
                    </a:stretch>
                  </pic:blipFill>
                  <pic:spPr bwMode="auto">
                    <a:xfrm>
                      <a:off x="0" y="0"/>
                      <a:ext cx="5949950" cy="4208145"/>
                    </a:xfrm>
                    <a:prstGeom prst="rect">
                      <a:avLst/>
                    </a:prstGeom>
                    <a:noFill/>
                  </pic:spPr>
                </pic:pic>
              </a:graphicData>
            </a:graphic>
          </wp:inline>
        </w:drawing>
      </w:r>
    </w:p>
    <w:p>
      <w:pPr>
        <w:pStyle w:val="Normal"/>
        <w:spacing w:lineRule="auto" w:line="240" w:before="280" w:after="160"/>
        <w:rPr/>
      </w:pPr>
      <w:r>
        <w:rPr>
          <w:rFonts w:cs="Times New Roman" w:ascii="Times New Roman" w:hAnsi="Times New Roman"/>
          <w:b/>
        </w:rPr>
        <w:t>Appendix Figure G2:</w:t>
      </w:r>
      <w:r>
        <w:rPr>
          <w:rFonts w:cs="Times New Roman" w:ascii="Times New Roman" w:hAnsi="Times New Roman"/>
        </w:rPr>
        <w:t xml:space="preserve"> Inter-coder reliability form: example item and response format for semantic coding.</w:t>
      </w:r>
    </w:p>
    <w:p>
      <w:pPr>
        <w:pStyle w:val="Normal"/>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949950" cy="42081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31"/>
                    <a:srcRect l="-2" t="-3" r="-2" b="-3"/>
                    <a:stretch>
                      <a:fillRect/>
                    </a:stretch>
                  </pic:blipFill>
                  <pic:spPr bwMode="auto">
                    <a:xfrm>
                      <a:off x="0" y="0"/>
                      <a:ext cx="5949950" cy="4208145"/>
                    </a:xfrm>
                    <a:prstGeom prst="rect">
                      <a:avLst/>
                    </a:prstGeom>
                    <a:noFill/>
                  </pic:spPr>
                </pic:pic>
              </a:graphicData>
            </a:graphic>
          </wp:inline>
        </w:drawing>
      </w:r>
    </w:p>
    <w:p>
      <w:pPr>
        <w:pStyle w:val="Normal"/>
        <w:spacing w:lineRule="auto" w:line="240" w:before="280" w:after="160"/>
        <w:rPr/>
      </w:pPr>
      <w:r>
        <w:rPr>
          <w:rFonts w:cs="Times New Roman" w:ascii="Times New Roman" w:hAnsi="Times New Roman"/>
          <w:b/>
        </w:rPr>
        <w:t>Appendix Figure G3:</w:t>
      </w:r>
      <w:r>
        <w:rPr>
          <w:rFonts w:cs="Times New Roman" w:ascii="Times New Roman" w:hAnsi="Times New Roman"/>
        </w:rPr>
        <w:t xml:space="preserve"> Inter-coder reliability form: sample coding rows from the 200-item reliability subset.</w:t>
      </w:r>
    </w:p>
    <w:p>
      <w:pPr>
        <w:pStyle w:val="Normal"/>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5949950" cy="42081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32"/>
                    <a:srcRect l="-2" t="-3" r="-2" b="-3"/>
                    <a:stretch>
                      <a:fillRect/>
                    </a:stretch>
                  </pic:blipFill>
                  <pic:spPr bwMode="auto">
                    <a:xfrm>
                      <a:off x="0" y="0"/>
                      <a:ext cx="5949950" cy="4208145"/>
                    </a:xfrm>
                    <a:prstGeom prst="rect">
                      <a:avLst/>
                    </a:prstGeom>
                    <a:noFill/>
                  </pic:spPr>
                </pic:pic>
              </a:graphicData>
            </a:graphic>
          </wp:inline>
        </w:drawing>
      </w:r>
    </w:p>
    <w:p>
      <w:pPr>
        <w:pStyle w:val="Normal"/>
        <w:spacing w:lineRule="auto" w:line="240" w:before="280" w:after="0"/>
        <w:jc w:val="center"/>
        <w:rPr>
          <w:rFonts w:ascii="Times New Roman" w:hAnsi="Times New Roman" w:cs="Times New Roman"/>
        </w:rPr>
      </w:pPr>
      <w:r>
        <w:rPr>
          <w:rFonts w:cs="Times New Roman" w:ascii="Times New Roman" w:hAnsi="Times New Roman"/>
          <w:b/>
          <w:sz w:val="32"/>
        </w:rPr>
        <w:t>Appendix H: Sample Sketch Engine Concordance for Definite-Article Frequency Extraction</w:t>
      </w:r>
    </w:p>
    <w:p>
      <w:pPr>
        <w:pStyle w:val="Normal"/>
        <w:spacing w:lineRule="auto" w:line="240" w:before="0" w:after="0"/>
        <w:ind w:firstLine="567" w:end="0"/>
        <w:jc w:val="both"/>
        <w:rPr/>
      </w:pPr>
      <w:r>
        <w:rPr>
          <w:rFonts w:cs="Times New Roman" w:ascii="Times New Roman" w:hAnsi="Times New Roman"/>
        </w:rPr>
        <w:t xml:space="preserve">This appendix provides a sample of the Sketch Engine concordance used to extract the frequency of the definite article </w:t>
      </w:r>
      <w:r>
        <w:rPr>
          <w:rFonts w:cs="Times New Roman" w:ascii="Times New Roman" w:hAnsi="Times New Roman"/>
          <w:i/>
        </w:rPr>
        <w:t>the</w:t>
      </w:r>
      <w:r>
        <w:rPr>
          <w:rFonts w:cs="Times New Roman" w:ascii="Times New Roman" w:hAnsi="Times New Roman"/>
        </w:rPr>
        <w:t xml:space="preserve"> in EENC-2026. The screenshot shows 61,311 hits and 52,184.37 occurrences per million tokens.</w:t>
      </w:r>
    </w:p>
    <w:p>
      <w:pPr>
        <w:pStyle w:val="Normal"/>
        <w:spacing w:lineRule="auto" w:line="240" w:before="280" w:after="160"/>
        <w:rPr/>
      </w:pPr>
      <w:r>
        <w:rPr>
          <w:rFonts w:cs="Times New Roman" w:ascii="Times New Roman" w:hAnsi="Times New Roman"/>
          <w:b/>
        </w:rPr>
        <w:t>Appendix Figure H1:</w:t>
      </w:r>
      <w:r>
        <w:rPr>
          <w:rFonts w:cs="Times New Roman" w:ascii="Times New Roman" w:hAnsi="Times New Roman"/>
        </w:rPr>
        <w:t xml:space="preserve"> Sketch Engine concordance sample for the definite article the</w:t>
      </w:r>
    </w:p>
    <w:p>
      <w:pPr>
        <w:pStyle w:val="Normal"/>
        <w:spacing w:lineRule="auto" w:line="240" w:before="0" w:after="0"/>
        <w:jc w:val="center"/>
        <w:rPr>
          <w:rFonts w:ascii="Times New Roman" w:hAnsi="Times New Roman" w:cs="Times New Roman"/>
        </w:rPr>
      </w:pPr>
      <w:r>
        <w:rPr>
          <w:rFonts w:cs="Times New Roman" w:ascii="Times New Roman" w:hAnsi="Times New Roman"/>
          <w:lang w:val="en-US" w:eastAsia="en-US"/>
        </w:rPr>
        <w:drawing>
          <wp:inline distT="0" distB="0" distL="0" distR="0">
            <wp:extent cx="6473825" cy="32029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33"/>
                    <a:srcRect l="-2" t="-4" r="-2" b="-4"/>
                    <a:stretch>
                      <a:fillRect/>
                    </a:stretch>
                  </pic:blipFill>
                  <pic:spPr bwMode="auto">
                    <a:xfrm>
                      <a:off x="0" y="0"/>
                      <a:ext cx="6473825" cy="3202940"/>
                    </a:xfrm>
                    <a:prstGeom prst="rect">
                      <a:avLst/>
                    </a:prstGeom>
                    <a:noFill/>
                  </pic:spPr>
                </pic:pic>
              </a:graphicData>
            </a:graphic>
          </wp:inline>
        </w:drawing>
      </w:r>
    </w:p>
    <w:p>
      <w:pPr>
        <w:pStyle w:val="Normal"/>
        <w:spacing w:lineRule="auto" w:line="240" w:before="0" w:after="0"/>
        <w:rPr>
          <w:rFonts w:ascii="Times New Roman" w:hAnsi="Times New Roman" w:cs="Times New Roman"/>
          <w:sz w:val="20"/>
        </w:rPr>
      </w:pPr>
      <w:r>
        <w:rPr>
          <w:rFonts w:cs="Times New Roman" w:ascii="Times New Roman" w:hAnsi="Times New Roman"/>
          <w:i/>
        </w:rPr>
        <w:t xml:space="preserve">Note. </w:t>
      </w:r>
      <w:r>
        <w:rPr>
          <w:rFonts w:cs="Times New Roman" w:ascii="Times New Roman" w:hAnsi="Times New Roman"/>
        </w:rPr>
        <w:t>The figure shows the left and right contexts of the keyword-in-context (KWIC) concordance. The full concordance output is not reproduced in order to avoid unnecessary length and copyright-sensitive language reuse.</w:t>
      </w:r>
    </w:p>
    <w:p>
      <w:pPr>
        <w:pStyle w:val="Heading1"/>
        <w:spacing w:lineRule="auto" w:line="240" w:before="280" w:after="0"/>
        <w:ind w:hanging="0" w:start="0"/>
        <w:jc w:val="center"/>
        <w:rPr>
          <w:rFonts w:ascii="Times New Roman" w:hAnsi="Times New Roman" w:cs="Times New Roman"/>
        </w:rPr>
      </w:pPr>
      <w:r>
        <w:rPr>
          <w:rFonts w:eastAsia="Times New Roman" w:cs="Times New Roman" w:ascii="Times New Roman" w:hAnsi="Times New Roman"/>
          <w:sz w:val="32"/>
        </w:rPr>
        <w:t>Appendix I: Sample Sketch Engine Concordance for Indefinite-Article Frequency Extraction</w:t>
      </w:r>
    </w:p>
    <w:p>
      <w:pPr>
        <w:pStyle w:val="Normal"/>
        <w:spacing w:lineRule="auto" w:line="240" w:before="280" w:after="160"/>
        <w:rPr/>
      </w:pPr>
      <w:r>
        <w:rPr>
          <w:rFonts w:cs="Times New Roman" w:ascii="Times New Roman" w:hAnsi="Times New Roman"/>
          <w:b/>
        </w:rPr>
        <w:t>Appendix Figure I1:</w:t>
      </w:r>
      <w:r>
        <w:rPr>
          <w:rFonts w:cs="Times New Roman" w:ascii="Times New Roman" w:hAnsi="Times New Roman"/>
        </w:rPr>
        <w:t xml:space="preserve"> Sample Sketch Engine Concordance for the Indefinite Article a</w:t>
      </w:r>
    </w:p>
    <w:p>
      <w:pPr>
        <w:pStyle w:val="Normal"/>
        <w:rPr>
          <w:rFonts w:ascii="Times New Roman" w:hAnsi="Times New Roman" w:cs="Times New Roman"/>
        </w:rPr>
      </w:pPr>
      <w:r>
        <w:rPr>
          <w:rFonts w:cs="Times New Roman" w:ascii="Times New Roman" w:hAnsi="Times New Roman"/>
        </w:rPr>
      </w:r>
    </w:p>
    <w:p>
      <w:pPr>
        <w:pStyle w:val="Normal"/>
        <w:tabs>
          <w:tab w:val="clear" w:pos="720"/>
          <w:tab w:val="left" w:pos="2853" w:leader="none"/>
        </w:tabs>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rPr>
      </w:pPr>
      <w:r>
        <w:rPr>
          <w:rFonts w:cs="Times New Roman" w:ascii="Times New Roman" w:hAnsi="Times New Roman"/>
          <w:lang w:val="en-US" w:eastAsia="en-US"/>
        </w:rPr>
        <w:drawing>
          <wp:inline distT="0" distB="0" distL="0" distR="0">
            <wp:extent cx="6052820" cy="34048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34"/>
                    <a:srcRect l="-2" t="-3" r="-2" b="-3"/>
                    <a:stretch>
                      <a:fillRect/>
                    </a:stretch>
                  </pic:blipFill>
                  <pic:spPr bwMode="auto">
                    <a:xfrm>
                      <a:off x="0" y="0"/>
                      <a:ext cx="6052820" cy="3404870"/>
                    </a:xfrm>
                    <a:prstGeom prst="rect">
                      <a:avLst/>
                    </a:prstGeom>
                    <a:noFill/>
                  </pic:spPr>
                </pic:pic>
              </a:graphicData>
            </a:graphic>
          </wp:inline>
        </w:drawing>
      </w:r>
    </w:p>
    <w:p>
      <w:pPr>
        <w:pStyle w:val="Normal"/>
        <w:spacing w:lineRule="auto" w:line="240" w:before="80" w:after="0"/>
        <w:rPr/>
      </w:pPr>
      <w:r>
        <w:rPr>
          <w:rFonts w:cs="Times New Roman" w:ascii="Times New Roman" w:hAnsi="Times New Roman"/>
          <w:i/>
        </w:rPr>
        <w:t xml:space="preserve">Note. </w:t>
      </w:r>
      <w:r>
        <w:rPr>
          <w:rFonts w:cs="Times New Roman" w:ascii="Times New Roman" w:hAnsi="Times New Roman"/>
        </w:rPr>
        <w:t xml:space="preserve">The figure shows a sample Sketch Engine concordance search for the indefinite article </w:t>
      </w:r>
      <w:r>
        <w:rPr>
          <w:rFonts w:cs="Times New Roman" w:ascii="Times New Roman" w:hAnsi="Times New Roman"/>
          <w:i/>
        </w:rPr>
        <w:t>a</w:t>
      </w:r>
      <w:r>
        <w:rPr>
          <w:rFonts w:cs="Times New Roman" w:ascii="Times New Roman" w:hAnsi="Times New Roman"/>
        </w:rPr>
        <w:t xml:space="preserve"> in EENC-2026. The KWIC display presents the left context, keyword, and right context for each item. The final indefinite result in the main analysis combines </w:t>
      </w:r>
      <w:r>
        <w:rPr>
          <w:rFonts w:cs="Times New Roman" w:ascii="Times New Roman" w:hAnsi="Times New Roman"/>
          <w:i/>
        </w:rPr>
        <w:t>a</w:t>
      </w:r>
      <w:r>
        <w:rPr>
          <w:rFonts w:cs="Times New Roman" w:ascii="Times New Roman" w:hAnsi="Times New Roman"/>
        </w:rPr>
        <w:t xml:space="preserve"> and </w:t>
      </w:r>
      <w:r>
        <w:rPr>
          <w:rFonts w:cs="Times New Roman" w:ascii="Times New Roman" w:hAnsi="Times New Roman"/>
          <w:i/>
        </w:rPr>
        <w:t>an</w:t>
      </w:r>
      <w:r>
        <w:rPr>
          <w:rFonts w:cs="Times New Roman" w:ascii="Times New Roman" w:hAnsi="Times New Roman"/>
        </w:rPr>
        <w:t>.</w:t>
      </w:r>
    </w:p>
    <w:p>
      <w:pPr>
        <w:pStyle w:val="Normal"/>
        <w:bidi w:val="1"/>
        <w:spacing w:lineRule="auto" w:line="276" w:before="0" w:after="160"/>
        <w:ind w:end="0"/>
        <w:jc w:val="start"/>
        <w:rPr>
          <w:rFonts w:ascii="Simplified Arabic" w:hAnsi="Simplified Arabic" w:cs="Simplified Arabic"/>
          <w:sz w:val="28"/>
          <w:szCs w:val="28"/>
          <w:lang w:bidi="ar-IQ"/>
        </w:rPr>
      </w:pPr>
      <w:r>
        <w:rPr>
          <w:rFonts w:cs="Simplified Arabic" w:ascii="Simplified Arabic" w:hAnsi="Simplified Arabic"/>
          <w:sz w:val="28"/>
          <w:szCs w:val="28"/>
          <w:rtl w:val="true"/>
          <w:lang w:bidi="ar-IQ"/>
        </w:rPr>
      </w:r>
    </w:p>
    <w:sectPr>
      <w:headerReference w:type="default" r:id="rId35"/>
      <w:footerReference w:type="default" r:id="rId36"/>
      <w:type w:val="nextPage"/>
      <w:pgSz w:w="12240" w:h="15840"/>
      <w:pgMar w:left="1559" w:right="1559" w:gutter="0" w:header="720" w:top="1559" w:footer="720" w:bottom="1559"/>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Courier New">
    <w:charset w:val="00"/>
    <w:family w:val="modern"/>
    <w:pitch w:val="default"/>
  </w:font>
  <w:font w:name="Wingdings">
    <w:charset w:val="02"/>
    <w:family w:val="auto"/>
    <w:pitch w:val="variable"/>
  </w:font>
  <w:font w:name="Tahoma">
    <w:charset w:val="00"/>
    <w:family w:val="swiss"/>
    <w:pitch w:val="variable"/>
  </w:font>
  <w:font w:name="Courier">
    <w:altName w:val="Courier New"/>
    <w:charset w:val="00"/>
    <w:family w:val="modern"/>
    <w:pitch w:val="default"/>
  </w:font>
  <w:font w:name="Cambria">
    <w:charset w:val="00"/>
    <w:family w:val="roman"/>
    <w:pitch w:val="variable"/>
  </w:font>
  <w:font w:name="Simplified Arabic">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38</w:t>
    </w:r>
    <w:r>
      <w:rPr>
        <w:sz w:val="28"/>
        <w:szCs w:val="2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080"/>
        </w:tabs>
        <w:ind w:start="1080" w:hanging="360"/>
      </w:pPr>
    </w:lvl>
  </w:abstractNum>
  <w:abstractNum w:abstractNumId="3">
    <w:lvl w:ilvl="0">
      <w:start w:val="1"/>
      <w:numFmt w:val="decimal"/>
      <w:lvlText w:val="%1."/>
      <w:lvlJc w:val="start"/>
      <w:pPr>
        <w:tabs>
          <w:tab w:val="num" w:pos="720"/>
        </w:tabs>
        <w:ind w:start="72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abstractNum>
  <w:abstractNum w:abstractNumId="6">
    <w:lvl w:ilvl="0">
      <w:start w:val="1"/>
      <w:numFmt w:val="decimal"/>
      <w:lvlText w:val="%1."/>
      <w:lvlJc w:val="start"/>
      <w:pPr>
        <w:tabs>
          <w:tab w:val="num" w:pos="360"/>
        </w:tabs>
        <w:ind w:start="360" w:hanging="360"/>
      </w:pPr>
    </w:lvl>
  </w:abstractNum>
  <w:abstractNum w:abstractNumId="7">
    <w:lvl w:ilvl="0">
      <w:start w:val="1"/>
      <w:numFmt w:val="bullet"/>
      <w:lvlText w:val=""/>
      <w:lvlJc w:val="start"/>
      <w:pPr>
        <w:tabs>
          <w:tab w:val="num" w:pos="360"/>
        </w:tabs>
        <w:ind w:start="36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9"/>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Arial"/>
      <w:color w:val="auto"/>
      <w:kern w:val="2"/>
      <w:sz w:val="22"/>
      <w:szCs w:val="22"/>
      <w:lang w:bidi="ar-SA" w:val="en-US" w:eastAsia="zh-CN"/>
    </w:rPr>
  </w:style>
  <w:style w:type="paragraph" w:styleId="Heading1">
    <w:name w:val="heading 1"/>
    <w:basedOn w:val="Normal"/>
    <w:next w:val="Normal"/>
    <w:qFormat/>
    <w:pPr>
      <w:keepNext w:val="true"/>
      <w:keepLines/>
      <w:numPr>
        <w:ilvl w:val="0"/>
        <w:numId w:val="1"/>
      </w:numPr>
      <w:spacing w:lineRule="auto" w:line="360" w:before="480" w:after="0"/>
      <w:outlineLvl w:val="0"/>
    </w:pPr>
    <w:rPr>
      <w:rFonts w:ascii="Calibri" w:hAnsi="Calibri" w:eastAsia="MS Gothic;ＭＳ ゴシック" w:cs="Times New Roman"/>
      <w:b/>
      <w:bCs/>
      <w:color w:val="000000"/>
      <w:kern w:val="0"/>
      <w:sz w:val="26"/>
      <w:szCs w:val="28"/>
    </w:rPr>
  </w:style>
  <w:style w:type="paragraph" w:styleId="Heading2">
    <w:name w:val="heading 2"/>
    <w:basedOn w:val="Normal"/>
    <w:next w:val="Normal"/>
    <w:qFormat/>
    <w:pPr>
      <w:keepNext w:val="true"/>
      <w:keepLines/>
      <w:numPr>
        <w:ilvl w:val="1"/>
        <w:numId w:val="1"/>
      </w:numPr>
      <w:spacing w:lineRule="auto" w:line="360" w:before="200" w:after="0"/>
      <w:outlineLvl w:val="1"/>
    </w:pPr>
    <w:rPr>
      <w:rFonts w:ascii="Calibri" w:hAnsi="Calibri" w:eastAsia="MS Gothic;ＭＳ ゴシック" w:cs="Times New Roman"/>
      <w:b/>
      <w:bCs/>
      <w:color w:val="000000"/>
      <w:kern w:val="0"/>
      <w:szCs w:val="26"/>
    </w:rPr>
  </w:style>
  <w:style w:type="paragraph" w:styleId="Heading3">
    <w:name w:val="heading 3"/>
    <w:basedOn w:val="Normal"/>
    <w:next w:val="Normal"/>
    <w:qFormat/>
    <w:pPr>
      <w:keepNext w:val="true"/>
      <w:keepLines/>
      <w:numPr>
        <w:ilvl w:val="2"/>
        <w:numId w:val="1"/>
      </w:numPr>
      <w:spacing w:lineRule="auto" w:line="360" w:before="200" w:after="0"/>
      <w:outlineLvl w:val="2"/>
    </w:pPr>
    <w:rPr>
      <w:rFonts w:ascii="Calibri" w:hAnsi="Calibri" w:eastAsia="MS Gothic;ＭＳ ゴシック" w:cs="Times New Roman"/>
      <w:b/>
      <w:bCs/>
      <w:color w:val="000000"/>
      <w:kern w:val="0"/>
      <w:sz w:val="21"/>
    </w:rPr>
  </w:style>
  <w:style w:type="paragraph" w:styleId="Heading4">
    <w:name w:val="heading 4"/>
    <w:basedOn w:val="Normal"/>
    <w:next w:val="Normal"/>
    <w:qFormat/>
    <w:pPr>
      <w:keepNext w:val="true"/>
      <w:keepLines/>
      <w:numPr>
        <w:ilvl w:val="3"/>
        <w:numId w:val="1"/>
      </w:numPr>
      <w:spacing w:lineRule="auto" w:line="360" w:before="200" w:after="0"/>
      <w:outlineLvl w:val="3"/>
    </w:pPr>
    <w:rPr>
      <w:rFonts w:ascii="Calibri" w:hAnsi="Calibri" w:eastAsia="MS Gothic;ＭＳ ゴシック" w:cs="Times New Roman"/>
      <w:b/>
      <w:bCs/>
      <w:i/>
      <w:iCs/>
      <w:color w:val="4F81BD"/>
      <w:kern w:val="0"/>
      <w:sz w:val="28"/>
    </w:rPr>
  </w:style>
  <w:style w:type="paragraph" w:styleId="Heading5">
    <w:name w:val="heading 5"/>
    <w:basedOn w:val="Normal"/>
    <w:next w:val="Normal"/>
    <w:qFormat/>
    <w:pPr>
      <w:keepNext w:val="true"/>
      <w:keepLines/>
      <w:numPr>
        <w:ilvl w:val="4"/>
        <w:numId w:val="1"/>
      </w:numPr>
      <w:spacing w:lineRule="auto" w:line="360" w:before="200" w:after="0"/>
      <w:outlineLvl w:val="4"/>
    </w:pPr>
    <w:rPr>
      <w:rFonts w:ascii="Calibri" w:hAnsi="Calibri" w:eastAsia="MS Gothic;ＭＳ ゴシック" w:cs="Times New Roman"/>
      <w:color w:val="243F60"/>
      <w:kern w:val="0"/>
      <w:sz w:val="28"/>
    </w:rPr>
  </w:style>
  <w:style w:type="paragraph" w:styleId="Heading6">
    <w:name w:val="heading 6"/>
    <w:basedOn w:val="Normal"/>
    <w:next w:val="Normal"/>
    <w:qFormat/>
    <w:pPr>
      <w:keepNext w:val="true"/>
      <w:keepLines/>
      <w:numPr>
        <w:ilvl w:val="5"/>
        <w:numId w:val="1"/>
      </w:numPr>
      <w:spacing w:lineRule="auto" w:line="360" w:before="200" w:after="0"/>
      <w:outlineLvl w:val="5"/>
    </w:pPr>
    <w:rPr>
      <w:rFonts w:ascii="Calibri" w:hAnsi="Calibri" w:eastAsia="MS Gothic;ＭＳ ゴシック" w:cs="Times New Roman"/>
      <w:i/>
      <w:iCs/>
      <w:color w:val="243F60"/>
      <w:kern w:val="0"/>
      <w:sz w:val="28"/>
    </w:rPr>
  </w:style>
  <w:style w:type="paragraph" w:styleId="Heading7">
    <w:name w:val="heading 7"/>
    <w:basedOn w:val="Normal"/>
    <w:next w:val="Normal"/>
    <w:qFormat/>
    <w:pPr>
      <w:keepNext w:val="true"/>
      <w:keepLines/>
      <w:numPr>
        <w:ilvl w:val="6"/>
        <w:numId w:val="1"/>
      </w:numPr>
      <w:spacing w:lineRule="auto" w:line="360" w:before="200" w:after="0"/>
      <w:outlineLvl w:val="6"/>
    </w:pPr>
    <w:rPr>
      <w:rFonts w:ascii="Calibri" w:hAnsi="Calibri" w:eastAsia="MS Gothic;ＭＳ ゴシック" w:cs="Times New Roman"/>
      <w:i/>
      <w:iCs/>
      <w:color w:val="404040"/>
      <w:kern w:val="0"/>
      <w:sz w:val="28"/>
    </w:rPr>
  </w:style>
  <w:style w:type="paragraph" w:styleId="Heading8">
    <w:name w:val="heading 8"/>
    <w:basedOn w:val="Normal"/>
    <w:next w:val="Normal"/>
    <w:qFormat/>
    <w:pPr>
      <w:keepNext w:val="true"/>
      <w:keepLines/>
      <w:numPr>
        <w:ilvl w:val="7"/>
        <w:numId w:val="1"/>
      </w:numPr>
      <w:spacing w:lineRule="auto" w:line="360" w:before="200" w:after="0"/>
      <w:outlineLvl w:val="7"/>
    </w:pPr>
    <w:rPr>
      <w:rFonts w:ascii="Calibri" w:hAnsi="Calibri" w:eastAsia="MS Gothic;ＭＳ ゴシック" w:cs="Times New Roman"/>
      <w:color w:val="4F81BD"/>
      <w:kern w:val="0"/>
      <w:sz w:val="20"/>
      <w:szCs w:val="20"/>
    </w:rPr>
  </w:style>
  <w:style w:type="paragraph" w:styleId="Heading9">
    <w:name w:val="heading 9"/>
    <w:basedOn w:val="Normal"/>
    <w:next w:val="Normal"/>
    <w:qFormat/>
    <w:pPr>
      <w:keepNext w:val="true"/>
      <w:keepLines/>
      <w:numPr>
        <w:ilvl w:val="8"/>
        <w:numId w:val="1"/>
      </w:numPr>
      <w:spacing w:lineRule="auto" w:line="360" w:before="200" w:after="0"/>
      <w:outlineLvl w:val="8"/>
    </w:pPr>
    <w:rPr>
      <w:rFonts w:ascii="Calibri" w:hAnsi="Calibri" w:eastAsia="MS Gothic;ＭＳ ゴシック" w:cs="Times New Roman"/>
      <w:i/>
      <w:iCs/>
      <w:color w:val="404040"/>
      <w:kern w:val="0"/>
      <w:sz w:val="20"/>
      <w:szCs w:val="20"/>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style>
  <w:style w:type="character" w:styleId="WW8Num11z0">
    <w:name w:val="WW8Num11z0"/>
    <w:qFormat/>
    <w:rPr>
      <w:rFonts w:ascii="Arial" w:hAnsi="Arial" w:eastAsia="Calibri" w:cs="Aria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style>
  <w:style w:type="character" w:styleId="WW8Num20z0">
    <w:name w:val="WW8Num20z0"/>
    <w:qFormat/>
    <w:rPr/>
  </w:style>
  <w:style w:type="character" w:styleId="DefaultParagraphFont">
    <w:name w:val="Default Paragraph Font"/>
    <w:qFormat/>
    <w:rPr/>
  </w:style>
  <w:style w:type="character" w:styleId="BalloonTextChar">
    <w:name w:val="Balloon Text Char"/>
    <w:qFormat/>
    <w:rPr>
      <w:rFonts w:ascii="Tahoma" w:hAnsi="Tahoma" w:cs="Tahoma"/>
      <w:sz w:val="16"/>
      <w:szCs w:val="16"/>
    </w:rPr>
  </w:style>
  <w:style w:type="character" w:styleId="PlaceholderText">
    <w:name w:val="Placeholder Text"/>
    <w:qFormat/>
    <w:rPr>
      <w:color w:val="808080"/>
    </w:rPr>
  </w:style>
  <w:style w:type="character" w:styleId="Hyperlink">
    <w:name w:val="Hyperlink"/>
    <w:rPr>
      <w:color w:val="0563C1"/>
      <w:u w:val="single"/>
    </w:rPr>
  </w:style>
  <w:style w:type="character" w:styleId="HeaderChar">
    <w:name w:val="Header Char"/>
    <w:basedOn w:val="DefaultParagraphFont"/>
    <w:qFormat/>
    <w:rPr/>
  </w:style>
  <w:style w:type="character" w:styleId="FooterChar">
    <w:name w:val="Footer Char"/>
    <w:basedOn w:val="DefaultParagraphFont"/>
    <w:qFormat/>
    <w:rPr/>
  </w:style>
  <w:style w:type="character" w:styleId="UnresolvedMention">
    <w:name w:val="Unresolved Mention"/>
    <w:qFormat/>
    <w:rPr>
      <w:color w:val="605E5C"/>
      <w:shd w:fill="E1DFDD" w:val="clear"/>
    </w:rPr>
  </w:style>
  <w:style w:type="character" w:styleId="Heading1Char">
    <w:name w:val="Heading 1 Char"/>
    <w:qFormat/>
    <w:rPr>
      <w:rFonts w:eastAsia="MS Gothic;ＭＳ ゴシック" w:cs="Times New Roman"/>
      <w:b/>
      <w:bCs/>
      <w:color w:val="000000"/>
      <w:sz w:val="26"/>
      <w:szCs w:val="28"/>
    </w:rPr>
  </w:style>
  <w:style w:type="character" w:styleId="Heading2Char">
    <w:name w:val="Heading 2 Char"/>
    <w:qFormat/>
    <w:rPr>
      <w:rFonts w:eastAsia="MS Gothic;ＭＳ ゴシック" w:cs="Times New Roman"/>
      <w:b/>
      <w:bCs/>
      <w:color w:val="000000"/>
      <w:sz w:val="22"/>
      <w:szCs w:val="26"/>
    </w:rPr>
  </w:style>
  <w:style w:type="character" w:styleId="Heading3Char">
    <w:name w:val="Heading 3 Char"/>
    <w:qFormat/>
    <w:rPr>
      <w:rFonts w:eastAsia="MS Gothic;ＭＳ ゴシック" w:cs="Times New Roman"/>
      <w:b/>
      <w:bCs/>
      <w:color w:val="000000"/>
      <w:sz w:val="21"/>
      <w:szCs w:val="22"/>
    </w:rPr>
  </w:style>
  <w:style w:type="character" w:styleId="Heading4Char">
    <w:name w:val="Heading 4 Char"/>
    <w:qFormat/>
    <w:rPr>
      <w:rFonts w:eastAsia="MS Gothic;ＭＳ ゴシック" w:cs="Times New Roman"/>
      <w:b/>
      <w:bCs/>
      <w:i/>
      <w:iCs/>
      <w:color w:val="4F81BD"/>
      <w:sz w:val="28"/>
      <w:szCs w:val="22"/>
    </w:rPr>
  </w:style>
  <w:style w:type="character" w:styleId="Heading5Char">
    <w:name w:val="Heading 5 Char"/>
    <w:qFormat/>
    <w:rPr>
      <w:rFonts w:eastAsia="MS Gothic;ＭＳ ゴシック" w:cs="Times New Roman"/>
      <w:color w:val="243F60"/>
      <w:sz w:val="28"/>
      <w:szCs w:val="22"/>
    </w:rPr>
  </w:style>
  <w:style w:type="character" w:styleId="Heading6Char">
    <w:name w:val="Heading 6 Char"/>
    <w:qFormat/>
    <w:rPr>
      <w:rFonts w:eastAsia="MS Gothic;ＭＳ ゴシック" w:cs="Times New Roman"/>
      <w:i/>
      <w:iCs/>
      <w:color w:val="243F60"/>
      <w:sz w:val="28"/>
      <w:szCs w:val="22"/>
    </w:rPr>
  </w:style>
  <w:style w:type="character" w:styleId="Heading7Char">
    <w:name w:val="Heading 7 Char"/>
    <w:qFormat/>
    <w:rPr>
      <w:rFonts w:eastAsia="MS Gothic;ＭＳ ゴシック" w:cs="Times New Roman"/>
      <w:i/>
      <w:iCs/>
      <w:color w:val="404040"/>
      <w:sz w:val="28"/>
      <w:szCs w:val="22"/>
    </w:rPr>
  </w:style>
  <w:style w:type="character" w:styleId="Heading8Char">
    <w:name w:val="Heading 8 Char"/>
    <w:qFormat/>
    <w:rPr>
      <w:rFonts w:eastAsia="MS Gothic;ＭＳ ゴシック" w:cs="Times New Roman"/>
      <w:color w:val="4F81BD"/>
    </w:rPr>
  </w:style>
  <w:style w:type="character" w:styleId="Heading9Char">
    <w:name w:val="Heading 9 Char"/>
    <w:qFormat/>
    <w:rPr>
      <w:rFonts w:eastAsia="MS Gothic;ＭＳ ゴシック" w:cs="Times New Roman"/>
      <w:i/>
      <w:iCs/>
      <w:color w:val="404040"/>
    </w:rPr>
  </w:style>
  <w:style w:type="character" w:styleId="TitleChar">
    <w:name w:val="Title Char"/>
    <w:qFormat/>
    <w:rPr>
      <w:rFonts w:eastAsia="MS Gothic;ＭＳ ゴシック" w:cs="Times New Roman"/>
      <w:color w:val="17365D"/>
      <w:spacing w:val="5"/>
      <w:kern w:val="2"/>
      <w:sz w:val="52"/>
      <w:szCs w:val="52"/>
    </w:rPr>
  </w:style>
  <w:style w:type="character" w:styleId="SubtitleChar">
    <w:name w:val="Subtitle Char"/>
    <w:qFormat/>
    <w:rPr>
      <w:rFonts w:eastAsia="MS Gothic;ＭＳ ゴシック" w:cs="Times New Roman"/>
      <w:i/>
      <w:iCs/>
      <w:color w:val="4F81BD"/>
      <w:spacing w:val="15"/>
      <w:sz w:val="28"/>
      <w:szCs w:val="24"/>
    </w:rPr>
  </w:style>
  <w:style w:type="character" w:styleId="BodyTextChar">
    <w:name w:val="Body Text Char"/>
    <w:qFormat/>
    <w:rPr>
      <w:rFonts w:ascii="Times New Roman" w:hAnsi="Times New Roman" w:eastAsia="Times New Roman" w:cs="Times New Roman"/>
      <w:sz w:val="28"/>
      <w:szCs w:val="22"/>
    </w:rPr>
  </w:style>
  <w:style w:type="character" w:styleId="BodyText2Char">
    <w:name w:val="Body Text 2 Char"/>
    <w:qFormat/>
    <w:rPr>
      <w:rFonts w:ascii="Times New Roman" w:hAnsi="Times New Roman" w:eastAsia="Times New Roman" w:cs="Times New Roman"/>
      <w:sz w:val="28"/>
      <w:szCs w:val="22"/>
    </w:rPr>
  </w:style>
  <w:style w:type="character" w:styleId="BodyText3Char">
    <w:name w:val="Body Text 3 Char"/>
    <w:qFormat/>
    <w:rPr>
      <w:rFonts w:ascii="Times New Roman" w:hAnsi="Times New Roman" w:eastAsia="Times New Roman" w:cs="Times New Roman"/>
      <w:sz w:val="16"/>
      <w:szCs w:val="16"/>
    </w:rPr>
  </w:style>
  <w:style w:type="character" w:styleId="MacroTextChar">
    <w:name w:val="Macro Text Char"/>
    <w:qFormat/>
    <w:rPr>
      <w:rFonts w:ascii="Courier" w:hAnsi="Courier" w:eastAsia="MS Mincho" w:cs="Courier"/>
    </w:rPr>
  </w:style>
  <w:style w:type="character" w:styleId="QuoteChar">
    <w:name w:val="Quote Char"/>
    <w:qFormat/>
    <w:rPr>
      <w:rFonts w:ascii="Times New Roman" w:hAnsi="Times New Roman" w:eastAsia="Times New Roman" w:cs="Times New Roman"/>
      <w:i/>
      <w:iCs/>
      <w:color w:val="000000"/>
      <w:sz w:val="28"/>
      <w:szCs w:val="22"/>
    </w:rPr>
  </w:style>
  <w:style w:type="character" w:styleId="Strong">
    <w:name w:val="Strong"/>
    <w:qFormat/>
    <w:rPr>
      <w:b/>
      <w:bCs/>
    </w:rPr>
  </w:style>
  <w:style w:type="character" w:styleId="Emphasis">
    <w:name w:val="Emphasis"/>
    <w:qFormat/>
    <w:rPr>
      <w:i/>
      <w:iCs/>
    </w:rPr>
  </w:style>
  <w:style w:type="character" w:styleId="IntenseQuoteChar">
    <w:name w:val="Intense Quote Char"/>
    <w:qFormat/>
    <w:rPr>
      <w:rFonts w:ascii="Times New Roman" w:hAnsi="Times New Roman" w:eastAsia="Times New Roman" w:cs="Times New Roman"/>
      <w:b/>
      <w:bCs/>
      <w:i/>
      <w:iCs/>
      <w:color w:val="4F81BD"/>
      <w:sz w:val="28"/>
      <w:szCs w:val="22"/>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Hyperlink1">
    <w:name w:val="Hyperlink1"/>
    <w:qFormat/>
    <w:rPr>
      <w:u w:val="single"/>
    </w:rPr>
  </w:style>
  <w:style w:type="paragraph" w:styleId="Heading">
    <w:name w:val="Heading"/>
    <w:basedOn w:val="Normal"/>
    <w:next w:val="Normal"/>
    <w:qFormat/>
    <w:pPr>
      <w:pBdr>
        <w:bottom w:val="single" w:sz="8" w:space="4" w:color="4F81BD"/>
      </w:pBdr>
      <w:spacing w:lineRule="auto" w:line="240" w:before="0" w:after="300"/>
      <w:contextualSpacing/>
    </w:pPr>
    <w:rPr>
      <w:rFonts w:ascii="Calibri" w:hAnsi="Calibri" w:eastAsia="MS Gothic;ＭＳ ゴシック" w:cs="Times New Roman"/>
      <w:color w:val="17365D"/>
      <w:spacing w:val="5"/>
      <w:kern w:val="2"/>
      <w:sz w:val="52"/>
      <w:szCs w:val="52"/>
    </w:rPr>
  </w:style>
  <w:style w:type="paragraph" w:styleId="BodyText">
    <w:name w:val="Body Text"/>
    <w:basedOn w:val="Normal"/>
    <w:pPr>
      <w:spacing w:lineRule="auto" w:line="360" w:before="0" w:after="120"/>
    </w:pPr>
    <w:rPr>
      <w:rFonts w:ascii="Times New Roman" w:hAnsi="Times New Roman" w:eastAsia="Times New Roman" w:cs="Arial"/>
      <w:kern w:val="0"/>
      <w:sz w:val="28"/>
    </w:rPr>
  </w:style>
  <w:style w:type="paragraph" w:styleId="List">
    <w:name w:val="List"/>
    <w:basedOn w:val="Normal"/>
    <w:pPr>
      <w:spacing w:lineRule="auto" w:line="360" w:before="0" w:after="120"/>
      <w:ind w:hanging="360" w:start="360" w:end="0"/>
      <w:contextualSpacing/>
    </w:pPr>
    <w:rPr>
      <w:rFonts w:ascii="Times New Roman" w:hAnsi="Times New Roman" w:eastAsia="Times New Roman" w:cs="Arial"/>
      <w:kern w:val="0"/>
      <w:sz w:val="28"/>
    </w:rPr>
  </w:style>
  <w:style w:type="paragraph" w:styleId="Caption">
    <w:name w:val="caption"/>
    <w:basedOn w:val="Normal"/>
    <w:next w:val="Normal"/>
    <w:qFormat/>
    <w:pPr>
      <w:spacing w:lineRule="auto" w:line="240" w:before="0" w:after="120"/>
    </w:pPr>
    <w:rPr>
      <w:rFonts w:ascii="Times New Roman" w:hAnsi="Times New Roman" w:eastAsia="Times New Roman" w:cs="Arial"/>
      <w:b/>
      <w:bCs/>
      <w:color w:val="4F81BD"/>
      <w:kern w:val="0"/>
      <w:sz w:val="18"/>
      <w:szCs w:val="18"/>
    </w:rPr>
  </w:style>
  <w:style w:type="paragraph" w:styleId="Index">
    <w:name w:val="Index"/>
    <w:basedOn w:val="Normal"/>
    <w:qFormat/>
    <w:pPr>
      <w:suppressLineNumbers/>
    </w:pPr>
    <w:rPr/>
  </w:style>
  <w:style w:type="paragraph" w:styleId="BalloonText">
    <w:name w:val="Balloon Text"/>
    <w:basedOn w:val="Normal"/>
    <w:qFormat/>
    <w:pPr>
      <w:spacing w:lineRule="auto" w:line="240" w:before="0" w:after="0"/>
    </w:pPr>
    <w:rPr>
      <w:rFonts w:ascii="Tahoma" w:hAnsi="Tahoma" w:cs="Tahoma"/>
      <w:sz w:val="16"/>
      <w:szCs w:val="16"/>
    </w:rPr>
  </w:style>
  <w:style w:type="paragraph" w:styleId="ListParagraph">
    <w:name w:val="List Paragraph"/>
    <w:basedOn w:val="Normal"/>
    <w:qFormat/>
    <w:pPr>
      <w:spacing w:before="0" w:after="160"/>
      <w:ind w:hanging="0" w:start="720" w:end="0"/>
      <w:contextualSpacing/>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spacing w:lineRule="auto" w:line="240" w:before="0" w:after="0"/>
    </w:pPr>
    <w:rPr/>
  </w:style>
  <w:style w:type="paragraph" w:styleId="Footer">
    <w:name w:val="footer"/>
    <w:basedOn w:val="Normal"/>
    <w:pPr>
      <w:tabs>
        <w:tab w:val="clear" w:pos="720"/>
        <w:tab w:val="center" w:pos="4153" w:leader="none"/>
        <w:tab w:val="right" w:pos="8306" w:leader="none"/>
      </w:tabs>
      <w:spacing w:lineRule="auto" w:line="240" w:before="0" w:after="0"/>
    </w:pPr>
    <w:rPr/>
  </w:style>
  <w:style w:type="paragraph" w:styleId="Default">
    <w:name w:val="Default"/>
    <w:qFormat/>
    <w:pPr>
      <w:widowControl/>
      <w:autoSpaceDE w:val="false"/>
      <w:bidi w:val="0"/>
    </w:pPr>
    <w:rPr>
      <w:rFonts w:ascii="Times New Roman" w:hAnsi="Times New Roman" w:eastAsia="Calibri" w:cs="Times New Roman"/>
      <w:color w:val="000000"/>
      <w:sz w:val="24"/>
      <w:szCs w:val="24"/>
      <w:lang w:bidi="ar-SA" w:val="en-US" w:eastAsia="zh-CN"/>
    </w:rPr>
  </w:style>
  <w:style w:type="paragraph" w:styleId="NormalWeb">
    <w:name w:val="Normal (Web)"/>
    <w:basedOn w:val="Normal"/>
    <w:qFormat/>
    <w:pPr/>
    <w:rPr>
      <w:rFonts w:ascii="Times New Roman" w:hAnsi="Times New Roman" w:cs="Times New Roman"/>
      <w:sz w:val="24"/>
      <w:szCs w:val="24"/>
    </w:rPr>
  </w:style>
  <w:style w:type="paragraph" w:styleId="NoSpacing">
    <w:name w:val="No Spacing"/>
    <w:qFormat/>
    <w:pPr>
      <w:widowControl/>
      <w:bidi w:val="0"/>
    </w:pPr>
    <w:rPr>
      <w:rFonts w:ascii="Cambria" w:hAnsi="Cambria" w:eastAsia="MS Mincho" w:cs="Cambria"/>
      <w:color w:val="auto"/>
      <w:sz w:val="22"/>
      <w:szCs w:val="22"/>
      <w:lang w:bidi="ar-SA" w:val="en-US" w:eastAsia="zh-CN"/>
    </w:rPr>
  </w:style>
  <w:style w:type="paragraph" w:styleId="Subtitle">
    <w:name w:val="Subtitle"/>
    <w:basedOn w:val="Normal"/>
    <w:next w:val="Normal"/>
    <w:qFormat/>
    <w:pPr>
      <w:numPr>
        <w:ilvl w:val="0"/>
        <w:numId w:val="0"/>
      </w:numPr>
      <w:spacing w:lineRule="auto" w:line="360" w:before="0" w:after="120"/>
      <w:ind w:hanging="0" w:start="0" w:end="0"/>
    </w:pPr>
    <w:rPr>
      <w:rFonts w:ascii="Calibri" w:hAnsi="Calibri" w:eastAsia="MS Gothic;ＭＳ ゴシック" w:cs="Times New Roman"/>
      <w:i/>
      <w:iCs/>
      <w:color w:val="4F81BD"/>
      <w:spacing w:val="15"/>
      <w:kern w:val="0"/>
      <w:sz w:val="28"/>
      <w:szCs w:val="24"/>
    </w:rPr>
  </w:style>
  <w:style w:type="paragraph" w:styleId="BodyText2">
    <w:name w:val="Body Text 2"/>
    <w:basedOn w:val="Normal"/>
    <w:qFormat/>
    <w:pPr>
      <w:spacing w:lineRule="auto" w:line="480" w:before="0" w:after="120"/>
    </w:pPr>
    <w:rPr>
      <w:rFonts w:ascii="Times New Roman" w:hAnsi="Times New Roman" w:eastAsia="Times New Roman" w:cs="Arial"/>
      <w:kern w:val="0"/>
      <w:sz w:val="28"/>
    </w:rPr>
  </w:style>
  <w:style w:type="paragraph" w:styleId="BodyText3">
    <w:name w:val="Body Text 3"/>
    <w:basedOn w:val="Normal"/>
    <w:qFormat/>
    <w:pPr>
      <w:spacing w:lineRule="auto" w:line="360" w:before="0" w:after="120"/>
    </w:pPr>
    <w:rPr>
      <w:rFonts w:ascii="Times New Roman" w:hAnsi="Times New Roman" w:eastAsia="Times New Roman" w:cs="Arial"/>
      <w:kern w:val="0"/>
      <w:sz w:val="16"/>
      <w:szCs w:val="16"/>
    </w:rPr>
  </w:style>
  <w:style w:type="paragraph" w:styleId="ListBullet2">
    <w:name w:val="List Bullet 2"/>
    <w:basedOn w:val="Normal"/>
    <w:pPr>
      <w:spacing w:lineRule="auto" w:line="360" w:before="0" w:after="120"/>
      <w:ind w:hanging="360" w:start="720" w:end="0"/>
      <w:contextualSpacing/>
    </w:pPr>
    <w:rPr>
      <w:rFonts w:ascii="Times New Roman" w:hAnsi="Times New Roman" w:eastAsia="Times New Roman" w:cs="Arial"/>
      <w:kern w:val="0"/>
      <w:sz w:val="28"/>
    </w:rPr>
  </w:style>
  <w:style w:type="paragraph" w:styleId="ListBullet3">
    <w:name w:val="List Bullet 3"/>
    <w:basedOn w:val="Normal"/>
    <w:pPr>
      <w:spacing w:lineRule="auto" w:line="360" w:before="0" w:after="120"/>
      <w:ind w:hanging="360" w:start="1080" w:end="0"/>
      <w:contextualSpacing/>
    </w:pPr>
    <w:rPr>
      <w:rFonts w:ascii="Times New Roman" w:hAnsi="Times New Roman" w:eastAsia="Times New Roman" w:cs="Arial"/>
      <w:kern w:val="0"/>
      <w:sz w:val="28"/>
    </w:rPr>
  </w:style>
  <w:style w:type="paragraph" w:styleId="ListBullet">
    <w:name w:val="List Bullet"/>
    <w:basedOn w:val="Normal"/>
    <w:qFormat/>
    <w:pPr>
      <w:numPr>
        <w:ilvl w:val="0"/>
        <w:numId w:val="7"/>
      </w:numPr>
      <w:tabs>
        <w:tab w:val="clear" w:pos="720"/>
      </w:tabs>
      <w:spacing w:lineRule="auto" w:line="360" w:before="0" w:after="120"/>
      <w:ind w:hanging="0" w:start="0" w:end="0"/>
      <w:contextualSpacing/>
    </w:pPr>
    <w:rPr>
      <w:rFonts w:ascii="Times New Roman" w:hAnsi="Times New Roman" w:eastAsia="Times New Roman" w:cs="Arial"/>
      <w:kern w:val="0"/>
      <w:sz w:val="28"/>
    </w:rPr>
  </w:style>
  <w:style w:type="paragraph" w:styleId="ListBullet21">
    <w:name w:val="List Bullet 21"/>
    <w:basedOn w:val="Normal"/>
    <w:qFormat/>
    <w:pPr>
      <w:numPr>
        <w:ilvl w:val="0"/>
        <w:numId w:val="5"/>
      </w:numPr>
      <w:tabs>
        <w:tab w:val="clear" w:pos="720"/>
      </w:tabs>
      <w:spacing w:lineRule="auto" w:line="360" w:before="0" w:after="120"/>
      <w:ind w:hanging="0" w:start="0" w:end="0"/>
      <w:contextualSpacing/>
    </w:pPr>
    <w:rPr>
      <w:rFonts w:ascii="Times New Roman" w:hAnsi="Times New Roman" w:eastAsia="Times New Roman" w:cs="Arial"/>
      <w:kern w:val="0"/>
      <w:sz w:val="28"/>
    </w:rPr>
  </w:style>
  <w:style w:type="paragraph" w:styleId="ListBullet31">
    <w:name w:val="List Bullet 31"/>
    <w:basedOn w:val="Normal"/>
    <w:qFormat/>
    <w:pPr>
      <w:numPr>
        <w:ilvl w:val="0"/>
        <w:numId w:val="4"/>
      </w:numPr>
      <w:tabs>
        <w:tab w:val="clear" w:pos="720"/>
      </w:tabs>
      <w:spacing w:lineRule="auto" w:line="360" w:before="0" w:after="120"/>
      <w:ind w:hanging="0" w:start="0" w:end="0"/>
      <w:contextualSpacing/>
    </w:pPr>
    <w:rPr>
      <w:rFonts w:ascii="Times New Roman" w:hAnsi="Times New Roman" w:eastAsia="Times New Roman" w:cs="Arial"/>
      <w:kern w:val="0"/>
      <w:sz w:val="28"/>
    </w:rPr>
  </w:style>
  <w:style w:type="paragraph" w:styleId="ListNumber">
    <w:name w:val="List Number"/>
    <w:basedOn w:val="Normal"/>
    <w:qFormat/>
    <w:pPr>
      <w:numPr>
        <w:ilvl w:val="0"/>
        <w:numId w:val="6"/>
      </w:numPr>
      <w:tabs>
        <w:tab w:val="clear" w:pos="720"/>
      </w:tabs>
      <w:spacing w:lineRule="auto" w:line="360" w:before="0" w:after="120"/>
      <w:ind w:hanging="0" w:start="0" w:end="0"/>
      <w:contextualSpacing/>
    </w:pPr>
    <w:rPr>
      <w:rFonts w:ascii="Times New Roman" w:hAnsi="Times New Roman" w:eastAsia="Times New Roman" w:cs="Arial"/>
      <w:kern w:val="0"/>
      <w:sz w:val="28"/>
    </w:rPr>
  </w:style>
  <w:style w:type="paragraph" w:styleId="ListNumber2">
    <w:name w:val="List Number 2"/>
    <w:basedOn w:val="Normal"/>
    <w:qFormat/>
    <w:pPr>
      <w:numPr>
        <w:ilvl w:val="0"/>
        <w:numId w:val="3"/>
      </w:numPr>
      <w:tabs>
        <w:tab w:val="clear" w:pos="720"/>
      </w:tabs>
      <w:spacing w:lineRule="auto" w:line="360" w:before="0" w:after="120"/>
      <w:ind w:hanging="0" w:start="0" w:end="0"/>
      <w:contextualSpacing/>
    </w:pPr>
    <w:rPr>
      <w:rFonts w:ascii="Times New Roman" w:hAnsi="Times New Roman" w:eastAsia="Times New Roman" w:cs="Arial"/>
      <w:kern w:val="0"/>
      <w:sz w:val="28"/>
    </w:rPr>
  </w:style>
  <w:style w:type="paragraph" w:styleId="ListNumber3">
    <w:name w:val="List Number 3"/>
    <w:basedOn w:val="Normal"/>
    <w:qFormat/>
    <w:pPr>
      <w:numPr>
        <w:ilvl w:val="0"/>
        <w:numId w:val="2"/>
      </w:numPr>
      <w:tabs>
        <w:tab w:val="clear" w:pos="720"/>
      </w:tabs>
      <w:spacing w:lineRule="auto" w:line="360" w:before="0" w:after="120"/>
      <w:ind w:hanging="0" w:start="0" w:end="0"/>
      <w:contextualSpacing/>
    </w:pPr>
    <w:rPr>
      <w:rFonts w:ascii="Times New Roman" w:hAnsi="Times New Roman" w:eastAsia="Times New Roman" w:cs="Arial"/>
      <w:kern w:val="0"/>
      <w:sz w:val="28"/>
    </w:rPr>
  </w:style>
  <w:style w:type="paragraph" w:styleId="ListContinue">
    <w:name w:val="List Continue"/>
    <w:basedOn w:val="Normal"/>
    <w:qFormat/>
    <w:pPr>
      <w:spacing w:lineRule="auto" w:line="360" w:before="0" w:after="120"/>
      <w:ind w:hanging="0" w:start="360" w:end="0"/>
      <w:contextualSpacing/>
    </w:pPr>
    <w:rPr>
      <w:rFonts w:ascii="Times New Roman" w:hAnsi="Times New Roman" w:eastAsia="Times New Roman" w:cs="Arial"/>
      <w:kern w:val="0"/>
      <w:sz w:val="28"/>
    </w:rPr>
  </w:style>
  <w:style w:type="paragraph" w:styleId="ListContinue2">
    <w:name w:val="List Continue 2"/>
    <w:basedOn w:val="Normal"/>
    <w:qFormat/>
    <w:pPr>
      <w:spacing w:lineRule="auto" w:line="360" w:before="0" w:after="120"/>
      <w:ind w:hanging="0" w:start="720" w:end="0"/>
      <w:contextualSpacing/>
    </w:pPr>
    <w:rPr>
      <w:rFonts w:ascii="Times New Roman" w:hAnsi="Times New Roman" w:eastAsia="Times New Roman" w:cs="Arial"/>
      <w:kern w:val="0"/>
      <w:sz w:val="28"/>
    </w:rPr>
  </w:style>
  <w:style w:type="paragraph" w:styleId="ListContinue3">
    <w:name w:val="List Continue 3"/>
    <w:basedOn w:val="Normal"/>
    <w:qFormat/>
    <w:pPr>
      <w:spacing w:lineRule="auto" w:line="360" w:before="0" w:after="120"/>
      <w:ind w:hanging="0" w:start="1080" w:end="0"/>
      <w:contextualSpacing/>
    </w:pPr>
    <w:rPr>
      <w:rFonts w:ascii="Times New Roman" w:hAnsi="Times New Roman" w:eastAsia="Times New Roman" w:cs="Arial"/>
      <w:kern w:val="0"/>
      <w:sz w:val="28"/>
    </w:rPr>
  </w:style>
  <w:style w:type="paragraph" w:styleId="MacroText">
    <w:name w:val="Macro Text"/>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pPr>
    <w:rPr>
      <w:rFonts w:ascii="Courier" w:hAnsi="Courier" w:eastAsia="MS Mincho" w:cs="Courier"/>
      <w:color w:val="auto"/>
      <w:sz w:val="20"/>
      <w:szCs w:val="20"/>
      <w:lang w:bidi="ar-SA" w:val="en-US" w:eastAsia="zh-CN"/>
    </w:rPr>
  </w:style>
  <w:style w:type="paragraph" w:styleId="Quote">
    <w:name w:val="Quote"/>
    <w:basedOn w:val="Normal"/>
    <w:next w:val="Normal"/>
    <w:qFormat/>
    <w:pPr>
      <w:spacing w:lineRule="auto" w:line="360" w:before="0" w:after="120"/>
    </w:pPr>
    <w:rPr>
      <w:rFonts w:ascii="Times New Roman" w:hAnsi="Times New Roman" w:eastAsia="Times New Roman" w:cs="Arial"/>
      <w:i/>
      <w:iCs/>
      <w:color w:val="000000"/>
      <w:kern w:val="0"/>
      <w:sz w:val="28"/>
    </w:rPr>
  </w:style>
  <w:style w:type="paragraph" w:styleId="IntenseQuote">
    <w:name w:val="Intense Quote"/>
    <w:basedOn w:val="Normal"/>
    <w:next w:val="Normal"/>
    <w:qFormat/>
    <w:pPr>
      <w:pBdr>
        <w:bottom w:val="single" w:sz="4" w:space="4" w:color="4F81BD"/>
      </w:pBdr>
      <w:spacing w:lineRule="auto" w:line="360" w:before="200" w:after="280"/>
      <w:ind w:hanging="0" w:start="936" w:end="936"/>
    </w:pPr>
    <w:rPr>
      <w:rFonts w:ascii="Times New Roman" w:hAnsi="Times New Roman" w:eastAsia="Times New Roman" w:cs="Arial"/>
      <w:b/>
      <w:bCs/>
      <w:i/>
      <w:iCs/>
      <w:color w:val="4F81BD"/>
      <w:kern w:val="0"/>
      <w:sz w:val="28"/>
    </w:rPr>
  </w:style>
  <w:style w:type="paragraph" w:styleId="TOCHeading">
    <w:name w:val="TOC Heading"/>
    <w:basedOn w:val="Heading1"/>
    <w:next w:val="Normal"/>
    <w:qFormat/>
    <w:pPr>
      <w:numPr>
        <w:ilvl w:val="0"/>
        <w:numId w:val="0"/>
      </w:numPr>
      <w:outlineLvl w:val="9"/>
    </w:pPr>
    <w:rPr>
      <w:rFonts w:ascii="Calibri" w:hAnsi="Calibri" w:eastAsia="MS Gothic;ＭＳ ゴシック" w:cs="Times New Roma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abaz.431624001@uor.edu.krd" TargetMode="External"/><Relationship Id="rId3" Type="http://schemas.openxmlformats.org/officeDocument/2006/relationships/hyperlink" Target="mailto:salih.ahmed@uor.edu.krd" TargetMode="External"/><Relationship Id="rId4" Type="http://schemas.openxmlformats.org/officeDocument/2006/relationships/hyperlink" Target="mailto:nabaz.431624001@uor.edu.krd" TargetMode="External"/><Relationship Id="rId5" Type="http://schemas.openxmlformats.org/officeDocument/2006/relationships/hyperlink" Target="mailto:salih.ahmed@uor.edu.krd" TargetMode="External"/><Relationship Id="rId6" Type="http://schemas.openxmlformats.org/officeDocument/2006/relationships/hyperlink" Target="mailto:salih.ahmed@uor.edu.krd" TargetMode="External"/><Relationship Id="rId7" Type="http://schemas.openxmlformats.org/officeDocument/2006/relationships/hyperlink" Target="mailto:nabaz.431624001@uor.edu.krd"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yperlink" Target="https://doi.org/10.22178/pos.101-15" TargetMode="External"/><Relationship Id="rId18" Type="http://schemas.openxmlformats.org/officeDocument/2006/relationships/hyperlink" Target="https://doi.org/10.4324/9781003154747-10" TargetMode="External"/><Relationship Id="rId19" Type="http://schemas.openxmlformats.org/officeDocument/2006/relationships/hyperlink" Target="https://doi.org/10.5530/jscires.20251459" TargetMode="External"/><Relationship Id="rId20" Type="http://schemas.openxmlformats.org/officeDocument/2006/relationships/hyperlink" Target="https://doi.org/10.1017/S0272263123000463" TargetMode="External"/><Relationship Id="rId21" Type="http://schemas.openxmlformats.org/officeDocument/2006/relationships/hyperlink" Target="https://doi.org/10.1057/s41599-025-04727-w" TargetMode="External"/><Relationship Id="rId22" Type="http://schemas.openxmlformats.org/officeDocument/2006/relationships/hyperlink" Target="https://doi.org/10.1016/j.ssaho.2023.100435" TargetMode="External"/><Relationship Id="rId23" Type="http://schemas.openxmlformats.org/officeDocument/2006/relationships/hyperlink" Target="https://doi.org/10.1080/2331186X.2023.2197662" TargetMode="External"/><Relationship Id="rId24" Type="http://schemas.openxmlformats.org/officeDocument/2006/relationships/hyperlink" Target="https://doi.org/10.1162/089120198563456" TargetMode="External"/><Relationship Id="rId25" Type="http://schemas.openxmlformats.org/officeDocument/2006/relationships/hyperlink" Target="https://doi.org/10.23918/ijsses.v11i3p64" TargetMode="External"/><Relationship Id="rId26" Type="http://schemas.openxmlformats.org/officeDocument/2006/relationships/hyperlink" Target="https://doi.org/10.1080/0907676X.2025.2516364" TargetMode="External"/><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header" Target="header1.xml"/><Relationship Id="rId36" Type="http://schemas.openxmlformats.org/officeDocument/2006/relationships/footer" Target="footer1.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765</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2026-06-06T14:26:00Z</dcterms:created>
  <dc:creator>Nabaz Muhammad Saeed</dc:creator>
  <dc:description/>
  <cp:keywords/>
  <dc:language>en-US</dc:language>
  <cp:lastModifiedBy/>
  <cp:lastPrinted>2026-06-04T17:18:00Z</cp:lastPrinted>
  <dcterms:modified xsi:type="dcterms:W3CDTF">2026-06-11T13:50:00Z</dcterms:modified>
  <cp:revision>39</cp:revision>
  <dc:subject/>
  <dc:title/>
</cp:coreProperties>
</file>