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{{BANK_NOMI}}</w:t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2"/>
        </w:rPr>
        <w:t>{{FILIAL_NOMI}} филиали</w:t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</w:r>
    </w:p>
    <w:p>
      <w:pPr>
        <w:spacing w:after="160"/>
        <w:jc w:val="right"/>
      </w:pPr>
      <w:r>
        <w:rPr>
          <w:rFonts w:ascii="Times New Roman" w:hAnsi="Times New Roman"/>
          <w:b w:val="0"/>
          <w:sz w:val="22"/>
        </w:rPr>
        <w:t>{{SUGURTA_KOMPANIYA}}га</w:t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  <w:t>№ {{XABARNOMA_SANA}}</w:t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ХАБАРНОМА</w:t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0"/>
        </w:rPr>
        <w:t>(қарз олувчининг вафот этиши муносабати билан суғурта тўлови тўғрисида)</w:t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</w:r>
    </w:p>
    <w:p>
      <w:pPr>
        <w:spacing w:after="200"/>
      </w:pPr>
      <w:r>
        <w:rPr>
          <w:rFonts w:ascii="Times New Roman" w:hAnsi="Times New Roman"/>
          <w:b w:val="0"/>
          <w:sz w:val="22"/>
        </w:rPr>
        <w:t>"{{BANK_QISQA_NOMI}}" АТБ {{FILIAL_NOMI}} филиали билан {{MIJOZ_ISM}} (ПИНФЛ: {{MIJOZ_PINFL}}) ўртасида {{SHARTNOMA_SANA}} йилда тузилган кредит шартномасига (анкета рақами: {{ANKETA_RAQAM}}) биноан {{KREDIT_SUMMA}} сўм миқдорида кредит маблағи ажратилган эди.</w:t>
      </w:r>
    </w:p>
    <w:p>
      <w:pPr>
        <w:spacing w:after="200"/>
      </w:pPr>
      <w:r>
        <w:rPr>
          <w:rFonts w:ascii="Times New Roman" w:hAnsi="Times New Roman"/>
          <w:b w:val="0"/>
          <w:sz w:val="22"/>
        </w:rPr>
        <w:t>Афсуски, қарз олувчи {{MIJOZ_ISM}} {{VAFOT_SANASI}} санада вафот этгани тўғрисида маълумот олинди (васиқа/гувоҳнома нусхаси илова қилинмоқда).</w:t>
      </w:r>
    </w:p>
    <w:p>
      <w:pPr>
        <w:spacing w:after="200"/>
      </w:pPr>
      <w:r>
        <w:rPr>
          <w:rFonts w:ascii="Times New Roman" w:hAnsi="Times New Roman"/>
          <w:b w:val="0"/>
          <w:sz w:val="22"/>
        </w:rPr>
        <w:t>Юқоридаги кредит шартномаси бўйича {{SUGURTA_KOMPANIYA}} томонидан {{SUGURTA_POLIS_RAQAM}} рақамли суғурта полиси расмийлаштирилган бўлиб, ушбу полис амал қилиш муддати {{KREDIT_TUGASH_SANASI}} санагача давом этади.</w:t>
      </w:r>
    </w:p>
    <w:p>
      <w:pPr>
        <w:spacing w:after="200"/>
      </w:pPr>
      <w:r>
        <w:rPr>
          <w:rFonts w:ascii="Times New Roman" w:hAnsi="Times New Roman"/>
          <w:b w:val="0"/>
          <w:sz w:val="22"/>
        </w:rPr>
        <w:t>Юқоридагиларни инобатга олиб, қарз олувчининг вафоти муносабати билан юзага келган {{JAMI_QARZ}} сўм миқдоридаги кредит қарздорлигини суғурта шартномаси асосида қоплаб беришингизни сўраймиз.</w:t>
      </w:r>
    </w:p>
    <w:p>
      <w:pPr>
        <w:spacing w:after="160"/>
      </w:pPr>
      <w:r>
        <w:rPr>
          <w:rFonts w:ascii="Times New Roman" w:hAnsi="Times New Roman"/>
          <w:b w:val="0"/>
          <w:sz w:val="20"/>
        </w:rPr>
        <w:t>Илова: ўлим тўғрисидаги гувоҳнома нусхаси, паспорт нусхаси, кредит шартномаси нусхаси.</w:t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</w:r>
    </w:p>
    <w:p>
      <w:pPr>
        <w:spacing w:after="160"/>
      </w:pPr>
      <w:r>
        <w:rPr>
          <w:rFonts w:ascii="Times New Roman" w:hAnsi="Times New Roman"/>
          <w:b w:val="0"/>
          <w:sz w:val="22"/>
        </w:rPr>
        <w:t>Филиал бошқарувчиси:                              {{RAHBAR_ISM}}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