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  <w:r>
        <w:t xml:space="preserve"/>
      </w:r>
    </w:p>
    <w:p>
      <w:pPr>
        <w:spacing w:before="1800" w:after="80"/>
        <w:jc w:val="center"/>
      </w:pPr>
      <w:r>
        <w:rPr>
          <w:rFonts w:ascii="Arial" w:cs="Arial" w:eastAsia="Arial" w:hAnsi="Arial"/>
          <w:b/>
          <w:bCs/>
          <w:caps/>
          <w:color w:val="2E9E6B"/>
          <w:sz w:val="24"/>
          <w:szCs w:val="24"/>
        </w:rPr>
        <w:t xml:space="preserve">PRODUCT REQUIREMENTS DOCUMENT</w:t>
      </w:r>
    </w:p>
    <w:p>
      <w:pPr>
        <w:spacing w:before="60" w:after="80"/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Digital Stokvel Banking</w:t>
      </w:r>
    </w:p>
    <w:p>
      <w:pPr>
        <w:spacing w:before="40" w:after="600"/>
        <w:jc w:val="center"/>
      </w:pPr>
      <w:r>
        <w:rPr>
          <w:rFonts w:ascii="Arial" w:cs="Arial" w:eastAsia="Arial" w:hAnsi="Arial"/>
          <w:i/>
          <w:iCs/>
          <w:color w:val="4A4A6A"/>
          <w:sz w:val="26"/>
          <w:szCs w:val="26"/>
        </w:rPr>
        <w:t xml:space="preserve">Bringing South Africa's R50B informal savings economy into the bank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</w:tblGrid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Version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1.0 — Draft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For Review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March 2026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Platforms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Android · iOS · USSD · Web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Launch Target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MVP in 3 Months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Monetisation</w:t>
            </w:r>
          </w:p>
        </w:tc>
        <w:tc>
          <w:tcPr>
            <w:tcW w:type="dxa" w:w="3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Interest Margin on Pooled Deposits</w:t>
            </w:r>
          </w:p>
        </w:tc>
      </w:tr>
    </w:tbl>
    <w:p>
      <w:pPr>
        <w:spacing w:before="0" w:after="4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Executive Summary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South Africa's stokvels represent one of the most significant untapped opportunities in retail banking. Over 11 million South Africans participate in stokvels, collectively contributing an estimated R50 billion annually — yet virtually all of this flows through cash, WhatsApp groups, and informal trust networks, entirely outside the formal banking system.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Digital Stokvel Banking is a bank-native feature set that brings this deeply rooted cultural savings practice into the formal financial ecosystem. By meeting customers where they already are — in their savings groups — the bank gains access to a massive, underserved segment while offering genuine value: interest on pooled deposits, digital transparency, fraud protection, and a pathway to formal credit.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PRD defines the requirements for an MVP launching within 3 months, targeting Android, iOS, USSD (feature phones), and web browser platforms. The primary revenue model is interest margin on pooled deposits.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Strategic Opportunity at a Glance</w:t>
            </w:r>
          </w:p>
        </w:tc>
      </w:tr>
      <w:tr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11M+ South Africans participate in stokvels  |  R50B+ contributed annually</w:t>
            </w:r>
          </w:p>
        </w:tc>
      </w:tr>
      <w:tr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0% currently earn interest  |  0% build credit history through stokvels</w:t>
            </w:r>
          </w:p>
        </w:tc>
      </w:tr>
      <w:tr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Largest informal savings vehicle in the country — untouched by major banks</w:t>
            </w:r>
          </w:p>
        </w:tc>
      </w:tr>
      <w:tr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A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Average stokvel group: 10–20 members, R500–R2,000/month per member</w:t>
            </w:r>
          </w:p>
        </w:tc>
      </w:tr>
    </w:tbl>
    <w:p>
      <w:pPr>
        <w:pBdr>
          <w:bottom w:val="single" w:color="1B4F8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Problem Statement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2.1 The Stokvel Participant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Despite being a disciplined saver, the average stokvel member faces several structural disadvantages by operating outside the formal system: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interest earned — pooled funds sit idle in cash or a basic account, eroding in real value due to inflation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Fraud and theft risk — large cash payouts at year-end are a known target for crime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credit record — consistent monthly contributions are invisible to credit bureaus, offering no benefit to the member's financial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Administrative burden — managing contributions, tracking who has paid, and resolving disputes is entirely manual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financial safety net — missed contributions cause social conflict with no formal resolution mechanism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2.2 The Bank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From the bank's perspective, stokvels represent a relationship gap: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Existing stokvel members are often already bank customers, but their stokvel activity generates zero value for the bank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informal nature of stokvels means R50B+ in annual flows bypass the bank entirely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existing product adequately serves the group savings use case with cultural sensitivity and appropriate features</w:t>
      </w:r>
    </w:p>
    <w:p>
      <w:pPr>
        <w:pBdr>
          <w:bottom w:val="single" w:color="1B4F8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Goals &amp; Success Metrics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3.1 Product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Formalise stokvel savings within the bank's ecosystem without disrupting the cultural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Generate interest revenue from pooled deposits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Deepen customer relationships and reduce churn by making the bank the home of community savings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Enable credit inclusion by creating a verifiable savings track record for members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Reach USSD users to maximise inclusion across feature phone and smartphone segments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3.2 MVP Success Metrics (3-Month Target)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MVP Target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12-Month Target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Active Stokvel Groups Created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500 groups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10,000 groups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Total Members Onboarded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5,000 members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100,000 members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Pooled Deposits Under Management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R5M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R250M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Interest Revenue Generated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R25K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R3M+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USSD-Originated Groups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30% of total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40% of total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Credit Profile Activations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Not in MVP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20,000 members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NPS Score (Stokvel Users)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&gt;60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&gt;70</w:t>
            </w:r>
          </w:p>
        </w:tc>
      </w:tr>
    </w:tbl>
    <w:p>
      <w:pPr>
        <w:pBdr>
          <w:bottom w:val="single" w:color="1B4F8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Target Users &amp; Personas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Persona</w:t>
            </w:r>
          </w:p>
        </w:tc>
        <w:tc>
          <w:tcPr>
            <w:tcW w:type="dxa" w:w="32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Profile</w:t>
            </w:r>
          </w:p>
        </w:tc>
        <w:tc>
          <w:tcPr>
            <w:tcW w:type="dxa" w:w="38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Need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The Chairperson (Umseki)</w:t>
            </w:r>
          </w:p>
        </w:tc>
        <w:tc>
          <w:tcPr>
            <w:tcW w:type="dxa" w:w="32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Typically female, 30–55, manages the group roster, tracks contributions, handles disputes. Tech-comfortable but values simplicity.</w:t>
            </w:r>
          </w:p>
        </w:tc>
        <w:tc>
          <w:tcPr>
            <w:tcW w:type="dxa" w:w="38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Visibility, control, and tools to manage the group fairly without WhatsApp chaos.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The Member (Ilungu)</w:t>
            </w:r>
          </w:p>
        </w:tc>
        <w:tc>
          <w:tcPr>
            <w:tcW w:type="dxa" w:w="32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Working adult, mixed digital literacy. Contributing monthly toward a year-end payout or rotating pot.</w:t>
            </w:r>
          </w:p>
        </w:tc>
        <w:tc>
          <w:tcPr>
            <w:tcW w:type="dxa" w:w="38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Transparency on group funds, easy contribution via phone, proof of their own payments.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The Feature Phone User</w:t>
            </w:r>
          </w:p>
        </w:tc>
        <w:tc>
          <w:tcPr>
            <w:tcW w:type="dxa" w:w="32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Lower-income, no smartphone. Relies on USSD for banking. Often domestic worker, informal trader, or rural resident.</w:t>
            </w:r>
          </w:p>
        </w:tc>
        <w:tc>
          <w:tcPr>
            <w:tcW w:type="dxa" w:w="38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Ability to participate in a digitised group without needing a smartphone.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The Financially Excluded</w:t>
            </w:r>
          </w:p>
        </w:tc>
        <w:tc>
          <w:tcPr>
            <w:tcW w:type="dxa" w:w="32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Unbanked or thin-file customer. Uses stokvels as primary savings vehicle. No formal credit history.</w:t>
            </w:r>
          </w:p>
        </w:tc>
        <w:tc>
          <w:tcPr>
            <w:tcW w:type="dxa" w:w="38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 way to save formally, earn interest, and start building a financial identity.</w:t>
            </w:r>
          </w:p>
        </w:tc>
      </w:tr>
    </w:tbl>
    <w:p>
      <w:pPr>
        <w:pBdr>
          <w:bottom w:val="single" w:color="1B4F8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Feature Requirements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5.1 Feature Priority Framework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Features are classified into three tiers: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P0 — Must have for MVP launch (3-month target)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P1 — Target for Phase 2 (3–6 months post-MVP)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P2 — Longer-term roadmap (6–12 months)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5.2 Core Feature Set</w:t>
      </w:r>
    </w:p>
    <w:p>
      <w:pPr>
        <w:spacing w:before="0" w:after="8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9E6B"/>
          <w:sz w:val="22"/>
          <w:szCs w:val="22"/>
        </w:rPr>
        <w:t xml:space="preserve">F-01  Group Creation &amp; Management  [P0]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Any bank customer can create a stokvel group and invite members.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Create a named group with a description, group type (rotating payout, savings pot, investment club), and contribution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Invite members via phone number, share link, or QR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Assign roles: Chairperson, Treasurer, Secretary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Set contribution amounts, frequency (weekly/monthly), and payout 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Members must have or open a bank account to join (onboarding flow embedded)</w:t>
      </w:r>
    </w:p>
    <w:p>
      <w:pPr>
        <w:spacing w:before="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9E6B"/>
          <w:sz w:val="22"/>
          <w:szCs w:val="22"/>
        </w:rPr>
        <w:t xml:space="preserve">F-02  Digital Group Wallet  [P0]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member contributions flow into a single, bank-held group savings account.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Pooled funds held in a dedicated group savings account earning tiered interest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Real-time balance visible to all members (role-based view)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Full contribution history — who paid, when, how much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Chairperson can view, but not unilaterally withdraw without quorum approval (governance rules)</w:t>
      </w:r>
    </w:p>
    <w:p>
      <w:pPr>
        <w:spacing w:before="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9E6B"/>
          <w:sz w:val="22"/>
          <w:szCs w:val="22"/>
        </w:rPr>
        <w:t xml:space="preserve">F-03  Contribution Collection  [P0]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Members contribute digitally, eliminating cash risk.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One-tap payment from linked bank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Debit order/recurring payment option for automatic contributions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USSD dial-in payment for feature phone users (e.g. *120*STOKVEL#)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Payment reminders 3 days and 1 day before due date (push, SMS, USSD)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Contribution confirmation receipt issued to member and logged on group ledger</w:t>
      </w:r>
    </w:p>
    <w:p>
      <w:pPr>
        <w:spacing w:before="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9E6B"/>
          <w:sz w:val="22"/>
          <w:szCs w:val="22"/>
        </w:rPr>
        <w:t xml:space="preserve">F-04  Payout Engine  [P0]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Automated, rules-driven payouts replace manual cash distribution.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Rotating payout: automated disbursement to designated member each 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Year-end pot: full balance disbursed to all members proportionally at year-end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Chairperson initiates payout; Treasurer must confirm; system executes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Instant EFT to member bank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Payout notifications to all group members for transparency</w:t>
      </w:r>
    </w:p>
    <w:p>
      <w:pPr>
        <w:spacing w:before="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9E6B"/>
          <w:sz w:val="22"/>
          <w:szCs w:val="22"/>
        </w:rPr>
        <w:t xml:space="preserve">F-05  Group Governance &amp; Dispute Resolution  [P0]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Formal governance structures that mirror how stokvels traditionally self-govern.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Group constitution builder — define rules for missed payments, late fees, member removal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In-app voting for major decisions (e.g. change contribution amount, remove member)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Missed payment escalation: automated notice, grace period, and chair notification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Dispute flag — member can raise a dispute; bank mediates if unresolved</w:t>
      </w:r>
    </w:p>
    <w:p>
      <w:pPr>
        <w:spacing w:before="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9E6B"/>
          <w:sz w:val="22"/>
          <w:szCs w:val="22"/>
        </w:rPr>
        <w:t xml:space="preserve">F-06  Multilingual Interface  [P0]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Language is a trust signal. The app must speak to users in their language.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Full UI available in: English, isiZulu, Sesotho, Xhosa, Afrikaans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USSD menus also available in all 5 languages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Language selection at onboarding, changeable in settings</w:t>
      </w:r>
    </w:p>
    <w:p>
      <w:pPr>
        <w:spacing w:before="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9E6B"/>
          <w:sz w:val="22"/>
          <w:szCs w:val="22"/>
        </w:rPr>
        <w:t xml:space="preserve">F-07  Credit Profile Builder  [P1]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Stokvel contributions become proof of financial reliability.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Opt-in: member can consent to contribution history being shared with credit bureau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Consistent on-time payments generate a positive 'Stokvel Score' indicator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Score visible in banking app and can be referenced for loan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Bank pre-qualification offers triggered based on Stokvel Score thresholds</w:t>
      </w:r>
    </w:p>
    <w:p>
      <w:pPr>
        <w:spacing w:before="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9E6B"/>
          <w:sz w:val="22"/>
          <w:szCs w:val="22"/>
        </w:rPr>
        <w:t xml:space="preserve">F-08  Financial Wellness Nudges  [P1]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Contextual, non-intrusive financial education embedded in the product flow.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Post-payout: 'Your R3,200 payout earned R48 in interest this year — here's how to grow it more'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Contribution streak milestones (e.g. '12 months of perfect payments — your credit profile is building!')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Annual stokvel summary report: contributions made, interest earned, payout received</w:t>
      </w:r>
    </w:p>
    <w:p>
      <w:pPr>
        <w:spacing w:before="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9E6B"/>
          <w:sz w:val="22"/>
          <w:szCs w:val="22"/>
        </w:rPr>
        <w:t xml:space="preserve">F-09  Stokvel-to-Investment Bridge  [P2]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groups that accumulate significant savings, a path to collective investment.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Group can vote to move a portion of savings into a bank-offered unit trust or fixed deposit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Investment held in group name; all members see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Unlocks a new revenue stream for the bank (investment management fees)</w:t>
      </w:r>
    </w:p>
    <w:p>
      <w:pPr>
        <w:spacing w:before="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2E9E6B"/>
          <w:sz w:val="22"/>
          <w:szCs w:val="22"/>
        </w:rPr>
        <w:t xml:space="preserve">F-10  Insurance Integration  [P2]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Group funeral and burial society cover, a deeply important use case in SA.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Group can opt into a bank-facilitated burial society product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Monthly premium deducted from group wallet; payout to family of deceased member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Embedded in the group creation flow as an optional add-on</w:t>
      </w:r>
    </w:p>
    <w:p>
      <w:pPr>
        <w:pBdr>
          <w:bottom w:val="single" w:color="1B4F8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Platform Requirements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MVP Scope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Consideration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Android App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Full feature set (F-01 to F-06)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Primary channel — majority of SA smartphone users are on Android. Material Design 3 with offline-tolerant architecture for low-connectivity areas.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iOS App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Full feature set (F-01 to F-06)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Secondary smartphone channel — required for completeness. Maintain feature parity with Android.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USSD (*120*STOKVEL#)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Contribute, check balance, receive payout notification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Critical for financial inclusion. Must work on any mobile network, any handset. Menu depth max 3 levels. Session timeout 120 seconds.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Web Browser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Chairperson admin dashboard — member management, contribution tracking, payout approvals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Desktop-first for admins. Responsive for tablet. Not the primary member interface.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USSD Design Principles: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Maximum 3-level menu depth — deep nesting causes drop-offs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amounts confirmed before execution (e.g. 'Confirm: Pay R500 to Ntombizodwa Stokvel? Press 1 for Yes, 2 for No')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USSD transactions are PIN-authenticated using the customer's existing bank PIN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Session state persisted for 2 minutes to handle network interruptions</w:t>
      </w:r>
    </w:p>
    <w:p>
      <w:pPr>
        <w:pBdr>
          <w:bottom w:val="single" w:color="1B4F8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Monetisation Model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7.1 Primary: Interest Margin on Pooled Deposits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stokvel group funds are held in a dedicated group savings account. The bank earns a margin between the rate paid to the group and the rate at which it deploys those funds.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Account Type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Group Savings Account — new account class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Rate Offered to Groups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4.5% per annum (tiered by balance — see below)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Bank Margin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Estimated 2–3% net interest margin on deployed funds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Tiered Interest Schedule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R0–R10K: 3.5% | R10K–R50K: 4.5% | R50K+: 5.5%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Interest Calculation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Daily compounding, monthly capitalisation to group wallet</w:t>
            </w:r>
          </w:p>
        </w:tc>
      </w:tr>
      <w:tr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Withdrawal Rules</w:t>
            </w:r>
          </w:p>
        </w:tc>
        <w:tc>
          <w:tcPr>
            <w:tcW w:type="dxa" w:w="6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Partial withdrawal requires quorum approval; full payout at cycle end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7.2 Secondary Revenue Streams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Cross-sell: Pre-qualified personal loans, home loans, and insurance products to active stokvel members (Phase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Premium Group Tier: Unlock advanced features (investment bridge, insurance, custom governance templates) for R25/group/month (Phase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B2B API: License the stokvel infrastructure to credit unions, churches, and employer benefits schemes (Phase 3)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7.3 Revenue Projection (Year 1)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Deposits Under Mgmt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Est. Annual Revenue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Conservative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R50M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R1.25M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Base Case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R250M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R6.25M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Optimistic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R750M</w:t>
            </w:r>
          </w:p>
        </w:tc>
        <w:tc>
          <w:tcPr>
            <w:tcW w:type="dxa" w:w="33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R18.75M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4A4A6A"/>
          <w:sz w:val="22"/>
          <w:szCs w:val="22"/>
        </w:rPr>
        <w:t xml:space="preserve">Assumes 2.5% average net interest margin. Does not include secondary revenue streams.</w:t>
      </w:r>
    </w:p>
    <w:p>
      <w:pPr>
        <w:pBdr>
          <w:bottom w:val="single" w:color="1B4F8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Cultural &amp; Trust Design Principles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section is non-negotiable. Stokvels are built on trust, community, and cultural practice. The product must earn its place in that tradition — not disrupt it.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9E6B" w:sz="1"/>
              <w:left w:val="single" w:color="2E9E6B" w:sz="1"/>
              <w:bottom w:val="single" w:color="2E9E6B" w:sz="1"/>
              <w:right w:val="single" w:color="2E9E6B" w:sz="1"/>
            </w:tcBorders>
            <w:shd w:fill="2E9E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Design Principles</w:t>
            </w:r>
          </w:p>
        </w:tc>
      </w:tr>
      <w:tr>
        <w:tc>
          <w:tcPr>
            <w:tcBorders>
              <w:top w:val="single" w:color="2E9E6B" w:sz="1"/>
              <w:left w:val="single" w:color="2E9E6B" w:sz="1"/>
              <w:bottom w:val="single" w:color="2E9E6B" w:sz="1"/>
              <w:right w:val="single" w:color="2E9E6B" w:sz="1"/>
            </w:tcBorders>
            <w:shd w:fill="E6F7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1.  The bank is the infrastructure, not the leader — the Chairperson retains authority within the group</w:t>
            </w:r>
          </w:p>
        </w:tc>
      </w:tr>
      <w:tr>
        <w:tc>
          <w:tcPr>
            <w:tcBorders>
              <w:top w:val="single" w:color="2E9E6B" w:sz="1"/>
              <w:left w:val="single" w:color="2E9E6B" w:sz="1"/>
              <w:bottom w:val="single" w:color="2E9E6B" w:sz="1"/>
              <w:right w:val="single" w:color="2E9E6B" w:sz="1"/>
            </w:tcBorders>
            <w:shd w:fill="E6F7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2.  Transparency is non-negotiable — every member can see the full ledger at all times</w:t>
            </w:r>
          </w:p>
        </w:tc>
      </w:tr>
      <w:tr>
        <w:tc>
          <w:tcPr>
            <w:tcBorders>
              <w:top w:val="single" w:color="2E9E6B" w:sz="1"/>
              <w:left w:val="single" w:color="2E9E6B" w:sz="1"/>
              <w:bottom w:val="single" w:color="2E9E6B" w:sz="1"/>
              <w:right w:val="single" w:color="2E9E6B" w:sz="1"/>
            </w:tcBorders>
            <w:shd w:fill="E6F7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3.  Cultural framing — use 'stokvel', 'umuntu', 'ilungu' in-app, not clinical banking terms</w:t>
            </w:r>
          </w:p>
        </w:tc>
      </w:tr>
      <w:tr>
        <w:tc>
          <w:tcPr>
            <w:tcBorders>
              <w:top w:val="single" w:color="2E9E6B" w:sz="1"/>
              <w:left w:val="single" w:color="2E9E6B" w:sz="1"/>
              <w:bottom w:val="single" w:color="2E9E6B" w:sz="1"/>
              <w:right w:val="single" w:color="2E9E6B" w:sz="1"/>
            </w:tcBorders>
            <w:shd w:fill="E6F7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4.  Governance mirrors tradition — quorum requirements, role titles, and dispute process match real stokvels</w:t>
            </w:r>
          </w:p>
        </w:tc>
      </w:tr>
      <w:tr>
        <w:tc>
          <w:tcPr>
            <w:tcBorders>
              <w:top w:val="single" w:color="2E9E6B" w:sz="1"/>
              <w:left w:val="single" w:color="2E9E6B" w:sz="1"/>
              <w:bottom w:val="single" w:color="2E9E6B" w:sz="1"/>
              <w:right w:val="single" w:color="2E9E6B" w:sz="1"/>
            </w:tcBorders>
            <w:shd w:fill="E6F7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5.  No data is sold or shared without explicit, informed consent — this must be communicated clearly</w:t>
            </w:r>
          </w:p>
        </w:tc>
      </w:tr>
      <w:tr>
        <w:tc>
          <w:tcPr>
            <w:tcBorders>
              <w:top w:val="single" w:color="2E9E6B" w:sz="1"/>
              <w:left w:val="single" w:color="2E9E6B" w:sz="1"/>
              <w:bottom w:val="single" w:color="2E9E6B" w:sz="1"/>
              <w:right w:val="single" w:color="2E9E6B" w:sz="1"/>
            </w:tcBorders>
            <w:shd w:fill="E6F7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6.  The bank never contacts group members directly about products without Chairperson consent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8.1 Language &amp; Tone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 warm, communal language. Avoid: 'account', 'product', 'KYC', 'compliance'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Preferred: 'your group', 'your savings pot', 'your contribution', 'your community'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Error messages must be encouraging, not alarming (e.g. 'Your payment didn't go through this time — let's try again' not 'Transaction Failed')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8.2 Trust Signals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Bank logo and FSCA regulation badge always visible on group wallet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'Your money is protected' disclosure shown on first deposit and on the wallet home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Contribution receipts are branded, shareable, and can be presented in group meetings as proof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Group ledger can be exported as a PDF for annual stokvel AGM records</w:t>
      </w:r>
    </w:p>
    <w:p>
      <w:pPr>
        <w:pBdr>
          <w:bottom w:val="single" w:color="1B4F8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Data, Privacy &amp; Compliance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POPIA Compliance</w:t>
            </w:r>
          </w:p>
        </w:tc>
        <w:tc>
          <w:tcPr>
            <w:tcW w:type="dxa" w:w="6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All personal data handling must comply with the Protection of Personal Information Act (POPIA). Explicit consent required for credit bureau reporting and marketing contact.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FICA / KYC</w:t>
            </w:r>
          </w:p>
        </w:tc>
        <w:tc>
          <w:tcPr>
            <w:tcW w:type="dxa" w:w="6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All group members must be verified bank customers. Non-customers complete simplified onboarding (ID + selfie) before joining. USSD users complete FICA via branch or ATM.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AML Monitoring</w:t>
            </w:r>
          </w:p>
        </w:tc>
        <w:tc>
          <w:tcPr>
            <w:tcW w:type="dxa" w:w="6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Group accounts subject to standard AML transaction monitoring. Thresholds: flag groups with single deposits &gt;R20,000 or total monthly inflows &gt;R100,000.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Credit Bureau Reporting</w:t>
            </w:r>
          </w:p>
        </w:tc>
        <w:tc>
          <w:tcPr>
            <w:tcW w:type="dxa" w:w="6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Opt-in only. Member must provide written (digital) consent. Clear explanation of what is reported and how it affects their credit profile.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Data Residency</w:t>
            </w:r>
          </w:p>
        </w:tc>
        <w:tc>
          <w:tcPr>
            <w:tcW w:type="dxa" w:w="6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All data stored on South Africa-domiciled infrastructure (SARB requirement for banking data).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Group Data Ownership</w:t>
            </w:r>
          </w:p>
        </w:tc>
        <w:tc>
          <w:tcPr>
            <w:tcW w:type="dxa" w:w="6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Contribution history, member roster, and group ledger are owned by the group. Bank is a custodian. Members can export their data at any time.</w:t>
            </w:r>
          </w:p>
        </w:tc>
      </w:tr>
    </w:tbl>
    <w:p>
      <w:pPr>
        <w:pBdr>
          <w:bottom w:val="single" w:color="1B4F8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 MVP Scope &amp; 3-Month Launch Plan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10.1 What is in the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F-01: Group Creation &amp;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F-02: Digital Group Wallet (pooled savings account with interest)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F-03: Contribution Collection (app + USSD)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F-04: Payout Engine (rotating and pot-based)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F-05: Group Governance (constitution builder, voting, dispute flagging)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F-06: Multilingual UI (5 languages, app + USSD)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10.2 What is NOT in the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Credit Profile Builder (F-07) — requires credit bureau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Financial Wellness Nudges (F-08) — requires behavioural analytics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Investment Bridge (F-09) and Insurance (F-10) — Phase 2+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Web dashboard for members (web = Chairperson admin only in MVP)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10.3 Phased Delivery Plan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80"/>
        <w:gridCol w:w="4580"/>
      </w:tblGrid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25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Timeframe</w:t>
            </w:r>
          </w:p>
        </w:tc>
        <w:tc>
          <w:tcPr>
            <w:tcW w:type="dxa" w:w="45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Deliverables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Phase 0 — Foundation</w:t>
            </w:r>
          </w:p>
        </w:tc>
        <w:tc>
          <w:tcPr>
            <w:tcW w:type="dxa" w:w="25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Weeks 1–2</w:t>
            </w:r>
          </w:p>
        </w:tc>
        <w:tc>
          <w:tcPr>
            <w:tcW w:type="dxa" w:w="45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Group savings account product setup, USSD shortcode registration, API framework, language pack foundation, design system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Phase 1 — Core Build</w:t>
            </w:r>
          </w:p>
        </w:tc>
        <w:tc>
          <w:tcPr>
            <w:tcW w:type="dxa" w:w="25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Weeks 3–7</w:t>
            </w:r>
          </w:p>
        </w:tc>
        <w:tc>
          <w:tcPr>
            <w:tcW w:type="dxa" w:w="45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Group creation, digital wallet, contribution flows (app + USSD), payout engine, governance module, multilingual UI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Phase 2 — Test &amp; Harden</w:t>
            </w:r>
          </w:p>
        </w:tc>
        <w:tc>
          <w:tcPr>
            <w:tcW w:type="dxa" w:w="25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Weeks 8–10</w:t>
            </w:r>
          </w:p>
        </w:tc>
        <w:tc>
          <w:tcPr>
            <w:tcW w:type="dxa" w:w="45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UAT with pilot group of 50 stokvels, USSD load testing, POPIA/FICA sign-off, security pen test, Chairperson onboarding toolkit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Phase 3 — MVP Launch</w:t>
            </w:r>
          </w:p>
        </w:tc>
        <w:tc>
          <w:tcPr>
            <w:tcW w:type="dxa" w:w="25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Weeks 11–12</w:t>
            </w:r>
          </w:p>
        </w:tc>
        <w:tc>
          <w:tcPr>
            <w:tcW w:type="dxa" w:w="45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Soft launch to 500 groups via Chairperson acquisition campaign, monitoring dashboard live, hypercare support team on standby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Phase 4 — Scale (Post-MVP)</w:t>
            </w:r>
          </w:p>
        </w:tc>
        <w:tc>
          <w:tcPr>
            <w:tcW w:type="dxa" w:w="25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 4–6</w:t>
            </w:r>
          </w:p>
        </w:tc>
        <w:tc>
          <w:tcPr>
            <w:tcW w:type="dxa" w:w="45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Credit Profile Builder, Financial Wellness, open referral programme, premium tier launch</w:t>
            </w:r>
          </w:p>
        </w:tc>
      </w:tr>
    </w:tbl>
    <w:p>
      <w:pPr>
        <w:pBdr>
          <w:bottom w:val="single" w:color="1B4F8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11. Risks &amp; Mitigations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Cultural resistance — members don't trust a bank to hold group funds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Chairperson-first design. Bank is never 'in charge'. Group rules are enforced by the group, not the bank. Run community roadshows with trusted community figures.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USSD session reliability on low-cost networks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Partner with all major MNOs (Vodacom, MTN, Cell C, Telkom). Session state persistence. Fallback SMS confirmation for all transactions.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Regulatory classification of group savings account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Engage SARB and FSCA early. Position as a bank-held savings account in group name — not a collective investment scheme.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Fraud — internal group disputes and false contribution claims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Immutable digital ledger. All contributions are bank-verified. Dispute resolution process with bank escalation path.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Low smartphone adoption in target segment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USSD is a first-class platform, not an afterthought. Feature parity for core flows. USSD-first marketing in low-income communities.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Competition from fintech (TymeBank, Stokvela, etc.)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LOW</w:t>
            </w:r>
          </w:p>
        </w:tc>
        <w:tc>
          <w:tcPr>
            <w:tcW w:type="dxa" w:w="5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Bank advantage: trust, FSCA regulation, interest-bearing accounts, credit integration, existing customer relationships.</w:t>
            </w:r>
          </w:p>
        </w:tc>
      </w:tr>
    </w:tbl>
    <w:p>
      <w:pPr>
        <w:pBdr>
          <w:bottom w:val="single" w:color="1B4F8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12. Open Questions &amp; Decisions Required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Owner / Target Date</w:t>
            </w:r>
          </w:p>
        </w:tc>
      </w:tr>
      <w:tr>
        <w:tc>
          <w:tcPr>
            <w:tcW w:type="dxa" w:w="5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What interest rate will treasury approve for the Group Savings Account?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Treasury &amp; Product — Week 1</w:t>
            </w:r>
          </w:p>
        </w:tc>
      </w:tr>
      <w:tr>
        <w:tc>
          <w:tcPr>
            <w:tcW w:type="dxa" w:w="5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Will the group savings account be a new account class or a variant of existing savings?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Core Banking &amp; Compliance — Week 1</w:t>
            </w:r>
          </w:p>
        </w:tc>
      </w:tr>
      <w:tr>
        <w:tc>
          <w:tcPr>
            <w:tcW w:type="dxa" w:w="5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Which credit bureau partner will be used for the Credit Profile Builder (Phase 2)?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Risk &amp; Partnerships — Week 6</w:t>
            </w:r>
          </w:p>
        </w:tc>
      </w:tr>
      <w:tr>
        <w:tc>
          <w:tcPr>
            <w:tcW w:type="dxa" w:w="5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What is the USSD shortcode — shared (*120*BANK*) or dedicated (*120*STOKVEL#)?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Technology &amp; MNO Relations — Week 2</w:t>
            </w:r>
          </w:p>
        </w:tc>
      </w:tr>
      <w:tr>
        <w:tc>
          <w:tcPr>
            <w:tcW w:type="dxa" w:w="5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Who owns the Chairperson acquisition campaign — Digital, Branch, or Community Banking?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Marketing &amp; Distribution — Week 2</w:t>
            </w:r>
          </w:p>
        </w:tc>
      </w:tr>
      <w:tr>
        <w:tc>
          <w:tcPr>
            <w:tcW w:type="dxa" w:w="5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Should non-bank members be allowed to join groups (with simplified onboarding)?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Compliance &amp; Product — Week 3</w:t>
            </w:r>
          </w:p>
        </w:tc>
      </w:tr>
    </w:tbl>
    <w:p>
      <w:pPr>
        <w:pBdr>
          <w:bottom w:val="single" w:color="1B4F8A" w:sz="6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13. Appendix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A.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Stokvel</w:t>
            </w:r>
          </w:p>
        </w:tc>
        <w:tc>
          <w:tcPr>
            <w:tcW w:type="dxa" w:w="6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An informal rotating savings club or credit union. Members contribute regularly and receive a lump sum payout on a rotating basis.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Umseki / Chairperson</w:t>
            </w:r>
          </w:p>
        </w:tc>
        <w:tc>
          <w:tcPr>
            <w:tcW w:type="dxa" w:w="6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The leader of a stokvel group, responsible for administration, collecting contributions, and managing payouts.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Ilungu / Member</w:t>
            </w:r>
          </w:p>
        </w:tc>
        <w:tc>
          <w:tcPr>
            <w:tcW w:type="dxa" w:w="6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 participant in a stokvel group.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USSD</w:t>
            </w:r>
          </w:p>
        </w:tc>
        <w:tc>
          <w:tcPr>
            <w:tcW w:type="dxa" w:w="6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Unstructured Supplementary Service Data — a protocol for real-time mobile communication used for banking on feature phones via short codes (e.g. *120*321#).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POPIA</w:t>
            </w:r>
          </w:p>
        </w:tc>
        <w:tc>
          <w:tcPr>
            <w:tcW w:type="dxa" w:w="6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Protection of Personal Information Act — South Africa's primary data privacy legislation.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FICA</w:t>
            </w:r>
          </w:p>
        </w:tc>
        <w:tc>
          <w:tcPr>
            <w:tcW w:type="dxa" w:w="6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Financial Intelligence Centre Act — South Africa's KYC/AML regulatory framework.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FSCA</w:t>
            </w:r>
          </w:p>
        </w:tc>
        <w:tc>
          <w:tcPr>
            <w:tcW w:type="dxa" w:w="6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Financial Sector Conduct Authority — the conduct regulator for financial institutions in South Africa.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NIM</w:t>
            </w:r>
          </w:p>
        </w:tc>
        <w:tc>
          <w:tcPr>
            <w:tcW w:type="dxa" w:w="6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Net Interest Margin — the difference between interest earned on assets and interest paid on liabilities, expressed as a percentage.</w:t>
            </w:r>
          </w:p>
        </w:tc>
      </w:tr>
      <w:tr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Stokvel Score</w:t>
            </w:r>
          </w:p>
        </w:tc>
        <w:tc>
          <w:tcPr>
            <w:tcW w:type="dxa" w:w="6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 proprietary indicator (Phase 2) derived from a member's stokvel contribution history, used to supplement traditional credit scoring.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B. Reference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NASASA (National Stokvel Association of SA) estimates 11.4 million stokvel participants and R49–54 billion in annual contributions (2023)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Average stokvel has 12–15 members with monthly contributions of R500–R2,000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68% of stokvel participants are women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South Africa has approximately 820,000 active stokvels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World Bank: 33% of South African adults are 'financially excluded' or underbanked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StatsSA: 54% of South African smartphone users are on Android; iOS at 27%; feature phones at 19%</w:t>
      </w:r>
    </w:p>
    <w:p>
      <w:pPr>
        <w:spacing w:before="0" w:after="16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4A4A6A"/>
        <w:sz w:val="17"/>
        <w:szCs w:val="17"/>
      </w:rPr>
      <w:t xml:space="preserve">© 2026 Digital Stokvel Banking  —  Internal Use Only</w:t>
    </w:r>
    <w:r>
      <w:rPr>
        <w:rFonts w:ascii="Arial" w:cs="Arial" w:eastAsia="Arial" w:hAnsi="Arial"/>
        <w:color w:val="4A4A6A"/>
        <w:sz w:val="17"/>
        <w:szCs w:val="17"/>
      </w:rPr>
      <w:t xml:space="preserve">	Page </w:t>
    </w:r>
    <w:r>
      <w:rPr>
        <w:rFonts w:ascii="Arial" w:cs="Arial" w:eastAsia="Arial" w:hAnsi="Arial"/>
        <w:color w:val="4A4A6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1"/>
      </w:pBdr>
      <w:spacing w:before="0" w:after="120"/>
    </w:pPr>
    <w:r>
      <w:rPr>
        <w:rFonts w:ascii="Arial" w:cs="Arial" w:eastAsia="Arial" w:hAnsi="Arial"/>
        <w:color w:val="4A4A6A"/>
        <w:sz w:val="18"/>
        <w:szCs w:val="18"/>
      </w:rPr>
      <w:t xml:space="preserve">Digital Stokvel Banking  |  PRD v1.0</w:t>
    </w:r>
    <w:r>
      <w:rPr>
        <w:rFonts w:ascii="Arial" w:cs="Arial" w:eastAsia="Arial" w:hAnsi="Arial"/>
        <w:b/>
        <w:bCs/>
        <w:color w:val="2E9E6B"/>
        <w:sz w:val="18"/>
        <w:szCs w:val="18"/>
      </w:rPr>
      <w:t xml:space="preserve">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B4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2026-03-19T18:02:24.256Z</dcterms:created>
  <dcterms:modified xsi:type="dcterms:W3CDTF">2026-03-19T18:02:24.257Z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