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POLÍTICA DE SEGURIDAD DE LA INFORMACIÓN EN EL SITIO WEB</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Política de Seguridad y Privacidad de la Información es la declaración general que representa la posición de la administración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RAYOGAS S.A. ESP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 respecto a la protección de los activos de información (los empleados, contratistas, terceros, la información, los procesos, las tecnologías de información incluido el hardware y el software), que soportan los procesos de la Empresa y apoyan la implementación del Sistema de Gestión de Seguridad de la Información - SGSI, por medio de la generación y publicación de sus políticas, procedimientos e instructivos, así como de la asignación de responsabilidades generales y específicas para la gestión de la seguridad de la información.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RAYOGAS S.A. ESP, para asegurar la dirección estratégica de la Empresa, establece la compatibilidad de la política de seguridad de la información y los objetivos de seguridad de la información, estos últimos correspondientes a: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Minimizar el riesgo de los procesos misionales de RAYOGAS S.A. ESP. </w:t>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Cumplir con los principios de seguridad de la información. </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Cumplir con los principios de la función administrativa. </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la confianza de los funcionarios, contratistas y terceros. </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Apoyar la innovación tecnológica. </w:t>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Implementar el sistema de gestión de seguridad de la información. </w:t>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Proteger los activos de información. </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Establecer las políticas, procedimientos e instructivos en materia de seguridad de la información. </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Fortalecer la cultura de seguridad de la información en los funcionarios, terceros, aprendices, practicantes y clientes de RAYOGAS S.A. ESP.</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Garantizar la continuidad del negocio frente a incidentes.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Alcance/Aplicabilidad: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política aplica a toda RAYOGAS S.A. ESP, sus funcionarios, contratistas y terceros de RAYOGAS S.A. ESP y la ciudadanía en general.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Nivel de cumplimiento: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Todas las personas cubiertas por el alcance y aplicabilidad deberán dar cumplimiento un 100% de la política.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continuación se establecen las políticas de seguridad que soportan el SGSI de RAYOGAS S.A. ESP: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RAYOGAS S.A. ESP decidido definir, implementar, operar y mejorar de forma continua  un Sistema de Gestión de Seguridad de la Información, soportado en lineamientos claros alineados a las necesidades del negocio, y a los requerimientos regulatorios que le aplican a su naturaleza. </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responsabilidades frente a la seguridad de la información serán definidas, compartidas, publicadas y aceptadas por cada uno de los empleados, contratistas o terceros. </w:t>
      </w:r>
    </w:p>
    <w:p w:rsidR="00000000" w:rsidDel="00000000" w:rsidP="00000000" w:rsidRDefault="00000000" w:rsidRPr="00000000" w14:paraId="000000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RAYOGAS S.A. ESP protegerá la información generada, procesada o resguardada por los procesos de negocio y activos de información que hacen parte de los mismos. </w:t>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RAYOGAS S.A. ESP protegerá la información creada, procesada, transmitida o resguardada por sus procesos de negocio, con el fin de minimizar impactos financieros, operativos o legales debido a un uso incorrecto de esta. Para ello es fundamental la aplicación de controles de acuerdo con la clasificación de la información de su propiedad o en custodia. </w:t>
      </w:r>
    </w:p>
    <w:p w:rsidR="00000000" w:rsidDel="00000000" w:rsidP="00000000" w:rsidRDefault="00000000" w:rsidRPr="00000000" w14:paraId="0000001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RAYOGAS S.A. ESP protegerá su información de las amenazas originadas por parte del personal. </w:t>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RAYOGAS S.A. ESP protegerá las instalaciones de procesamiento y la infraestructura tecnológica que soporta sus procesos críticos. </w:t>
      </w:r>
    </w:p>
    <w:p w:rsidR="00000000" w:rsidDel="00000000" w:rsidP="00000000" w:rsidRDefault="00000000" w:rsidRPr="00000000" w14:paraId="000000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RAYOGAS S.A. ESP controlará la operación de sus procesos de negocio garantizando la seguridad de los recursos tecnológicos y las redes de datos. </w:t>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RAYOGAS S.A. ESP implementará control de acceso a la información, sistemas y recursos de red. </w:t>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RAYOGAS S.A. ESP garantizará que la seguridad sea parte integral del ciclo de vida de los sistemas de información.  </w:t>
      </w:r>
    </w:p>
    <w:p w:rsidR="00000000" w:rsidDel="00000000" w:rsidP="00000000" w:rsidRDefault="00000000" w:rsidRPr="00000000" w14:paraId="0000002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RAYOGAS S.A. ESP garantizará a través de una adecuada gestión de los eventos de seguridad y las debilidades asociadas con los sistemas de información una mejora efectiva de su modelo de seguridad. </w:t>
      </w:r>
    </w:p>
    <w:p w:rsidR="00000000" w:rsidDel="00000000" w:rsidP="00000000" w:rsidRDefault="00000000" w:rsidRPr="00000000" w14:paraId="000000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RAYOGAS S.A. ESP garantizará la disponibilidad de sus procesos de negocio y la continuidad de su operación basado en el impacto que pueden generar los eventos. </w:t>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RAYOGAS S.A. ESP garantizará el cumplimiento de las obligaciones legales, regulatorias y contractuales establecidas.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incumplimiento a la política de Seguridad y Privacidad de la Información, traerá consigo, las consecuencias legales que apliquen a la normativa sobre la Seguridad y Privacidad de la Información.</w:t>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609.0pt;height:793.0pt;rotation:0;z-index:-503316481;mso-position-horizontal-relative:left-margin-area;mso-position-horizontal:center;mso-position-vertical-relative:top-margin-area;mso-position-vertical:center;" alt="" type="#_x0000_t75">
          <v:imagedata cropbottom="0f" cropleft="0f" cropright="0f" croptop="0f" r:id="rId1"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609.0pt;height:793.0pt;rotation:0;z-index:-503316481;mso-position-horizontal-relative:left-margin-area;mso-position-horizontal:center;mso-position-vertical-relative:top-margin-area;mso-position-vertical:center;" alt="" type="#_x0000_t75">
          <v:imagedata cropbottom="0f" cropleft="0f" cropright="0f" croptop="0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pict>
        <v:shape id="WordPictureWatermark1" style="position:absolute;width:609.0pt;height:793.0pt;rotation:0;z-index:-503316481;mso-position-horizontal-relative:left-margin-area;mso-position-horizontal:absolute;margin-left:1.5pt;mso-position-vertical-relative:top-margin-area;mso-position-vertical:absolute;margin-top:0.550000000000022pt;"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72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720" w:hanging="360"/>
      </w:pPr>
      <w:rPr>
        <w:vertAlign w:val="baseline"/>
      </w:rPr>
    </w:lvl>
    <w:lvl w:ilvl="2">
      <w:start w:val="0"/>
      <w:numFmt w:val="bullet"/>
      <w:lvlText w:val="•"/>
      <w:lvlJc w:val="left"/>
      <w:pPr>
        <w:ind w:left="2340" w:hanging="360"/>
      </w:pPr>
      <w:rPr>
        <w:rFonts w:ascii="Arial" w:cs="Arial" w:eastAsia="Arial" w:hAnsi="Arial"/>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CO"/>
    </w:rPr>
  </w:style>
  <w:style w:type="paragraph" w:styleId="Título2">
    <w:name w:val="Título 2"/>
    <w:basedOn w:val="Normal"/>
    <w:next w:val="Normal"/>
    <w:autoRedefine w:val="0"/>
    <w:hidden w:val="0"/>
    <w:qFormat w:val="1"/>
    <w:pPr>
      <w:keepNext w:val="1"/>
      <w:keepLines w:val="1"/>
      <w:suppressAutoHyphens w:val="1"/>
      <w:spacing w:after="0" w:before="40" w:line="259" w:lineRule="auto"/>
      <w:ind w:leftChars="-1" w:rightChars="0" w:firstLineChars="-1"/>
      <w:textDirection w:val="btLr"/>
      <w:textAlignment w:val="top"/>
      <w:outlineLvl w:val="1"/>
    </w:pPr>
    <w:rPr>
      <w:rFonts w:ascii="Calibri Light" w:cs="Times New Roman" w:eastAsia="Times New Roman" w:hAnsi="Calibri Light"/>
      <w:color w:val="2f5496"/>
      <w:w w:val="100"/>
      <w:position w:val="-1"/>
      <w:sz w:val="26"/>
      <w:szCs w:val="26"/>
      <w:effect w:val="none"/>
      <w:vertAlign w:val="baseline"/>
      <w:cs w:val="0"/>
      <w:em w:val="none"/>
      <w:lang w:bidi="ar-SA" w:eastAsia="en-US" w:val="es-CO"/>
    </w:rPr>
  </w:style>
  <w:style w:type="paragraph" w:styleId="Título3">
    <w:name w:val="Título 3"/>
    <w:basedOn w:val="Normal"/>
    <w:next w:val="Normal"/>
    <w:autoRedefine w:val="0"/>
    <w:hidden w:val="0"/>
    <w:qFormat w:val="1"/>
    <w:pPr>
      <w:keepNext w:val="1"/>
      <w:keepLines w:val="1"/>
      <w:suppressAutoHyphens w:val="1"/>
      <w:spacing w:after="0" w:before="40" w:line="259" w:lineRule="auto"/>
      <w:ind w:leftChars="-1" w:rightChars="0" w:firstLineChars="-1"/>
      <w:textDirection w:val="btLr"/>
      <w:textAlignment w:val="top"/>
      <w:outlineLvl w:val="2"/>
    </w:pPr>
    <w:rPr>
      <w:rFonts w:ascii="Calibri Light" w:cs="Times New Roman" w:eastAsia="Times New Roman" w:hAnsi="Calibri Light"/>
      <w:color w:val="1f3763"/>
      <w:w w:val="100"/>
      <w:position w:val="-1"/>
      <w:sz w:val="24"/>
      <w:szCs w:val="24"/>
      <w:effect w:val="none"/>
      <w:vertAlign w:val="baseline"/>
      <w:cs w:val="0"/>
      <w:em w:val="none"/>
      <w:lang w:bidi="ar-SA" w:eastAsia="en-US" w:val="es-CO"/>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CO"/>
    </w:rPr>
  </w:style>
  <w:style w:type="character" w:styleId="EncabezadoCar">
    <w:name w:val="Encabezado Car"/>
    <w:next w:val="EncabezadoCar"/>
    <w:autoRedefine w:val="0"/>
    <w:hidden w:val="0"/>
    <w:qFormat w:val="0"/>
    <w:rPr>
      <w:w w:val="100"/>
      <w:position w:val="-1"/>
      <w:effect w:val="none"/>
      <w:vertAlign w:val="baseline"/>
      <w:cs w:val="0"/>
      <w:em w:val="none"/>
      <w:lang w:val="es-CO"/>
    </w:rPr>
  </w:style>
  <w:style w:type="paragraph" w:styleId="Piedepágina">
    <w:name w:val="Pie de página"/>
    <w:basedOn w:val="Normal"/>
    <w:next w:val="Piedepágina"/>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CO"/>
    </w:rPr>
  </w:style>
  <w:style w:type="character" w:styleId="PiedepáginaCar">
    <w:name w:val="Pie de página Car"/>
    <w:next w:val="PiedepáginaCar"/>
    <w:autoRedefine w:val="0"/>
    <w:hidden w:val="0"/>
    <w:qFormat w:val="0"/>
    <w:rPr>
      <w:w w:val="100"/>
      <w:position w:val="-1"/>
      <w:effect w:val="none"/>
      <w:vertAlign w:val="baseline"/>
      <w:cs w:val="0"/>
      <w:em w:val="none"/>
      <w:lang w:val="es-CO"/>
    </w:rPr>
  </w:style>
  <w:style w:type="character" w:styleId="Título2Car">
    <w:name w:val="Título 2 Car"/>
    <w:next w:val="Título2Car"/>
    <w:autoRedefine w:val="0"/>
    <w:hidden w:val="0"/>
    <w:qFormat w:val="0"/>
    <w:rPr>
      <w:rFonts w:ascii="Calibri Light" w:cs="Times New Roman" w:eastAsia="Times New Roman" w:hAnsi="Calibri Light"/>
      <w:color w:val="2f5496"/>
      <w:w w:val="100"/>
      <w:position w:val="-1"/>
      <w:sz w:val="26"/>
      <w:szCs w:val="26"/>
      <w:effect w:val="none"/>
      <w:vertAlign w:val="baseline"/>
      <w:cs w:val="0"/>
      <w:em w:val="none"/>
      <w:lang w:val="es-CO"/>
    </w:rPr>
  </w:style>
  <w:style w:type="character" w:styleId="Hipervínculo">
    <w:name w:val="Hipervínculo"/>
    <w:next w:val="Hipervínculo"/>
    <w:autoRedefine w:val="0"/>
    <w:hidden w:val="0"/>
    <w:qFormat w:val="1"/>
    <w:rPr>
      <w:color w:val="0563c1"/>
      <w:w w:val="100"/>
      <w:position w:val="-1"/>
      <w:u w:val="single"/>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CO"/>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s-CO"/>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character" w:styleId="Título3Car">
    <w:name w:val="Título 3 Car"/>
    <w:next w:val="Título3Car"/>
    <w:autoRedefine w:val="0"/>
    <w:hidden w:val="0"/>
    <w:qFormat w:val="0"/>
    <w:rPr>
      <w:rFonts w:ascii="Calibri Light" w:cs="Times New Roman" w:eastAsia="Times New Roman" w:hAnsi="Calibri Light"/>
      <w:color w:val="1f3763"/>
      <w:w w:val="100"/>
      <w:position w:val="-1"/>
      <w:sz w:val="24"/>
      <w:szCs w:val="24"/>
      <w:effect w:val="none"/>
      <w:vertAlign w:val="baseline"/>
      <w:cs w:val="0"/>
      <w:em w:val="none"/>
      <w:lang w:val="es-CO"/>
    </w:rPr>
  </w:style>
  <w:style w:type="paragraph" w:styleId="Textoindependiente,TextindepT2">
    <w:name w:val="Texto independiente,TextindepT2"/>
    <w:basedOn w:val="Normal"/>
    <w:next w:val="Textoindependiente,TextindepT2"/>
    <w:autoRedefine w:val="0"/>
    <w:hidden w:val="0"/>
    <w:qFormat w:val="0"/>
    <w:pPr>
      <w:suppressAutoHyphens w:val="1"/>
      <w:spacing w:after="0" w:line="240" w:lineRule="auto"/>
      <w:ind w:leftChars="-1" w:rightChars="0" w:firstLineChars="-1"/>
      <w:jc w:val="both"/>
      <w:textDirection w:val="btLr"/>
      <w:textAlignment w:val="top"/>
      <w:outlineLvl w:val="0"/>
    </w:pPr>
    <w:rPr>
      <w:rFonts w:ascii="Tahoma" w:cs="Tahoma" w:eastAsia="Times New Roman" w:hAnsi="Tahoma"/>
      <w:w w:val="100"/>
      <w:position w:val="-1"/>
      <w:sz w:val="24"/>
      <w:szCs w:val="24"/>
      <w:effect w:val="none"/>
      <w:vertAlign w:val="baseline"/>
      <w:cs w:val="0"/>
      <w:em w:val="none"/>
      <w:lang w:bidi="ar-SA" w:eastAsia="es-ES" w:val="es-ES"/>
    </w:rPr>
  </w:style>
  <w:style w:type="character" w:styleId="TextoindependienteCar,TextindepT2Car">
    <w:name w:val="Texto independiente Car,TextindepT2 Car"/>
    <w:next w:val="TextoindependienteCar,TextindepT2Car"/>
    <w:autoRedefine w:val="0"/>
    <w:hidden w:val="0"/>
    <w:qFormat w:val="0"/>
    <w:rPr>
      <w:rFonts w:ascii="Tahoma" w:cs="Tahoma" w:eastAsia="Times New Roman" w:hAnsi="Tahoma"/>
      <w:w w:val="100"/>
      <w:position w:val="-1"/>
      <w:sz w:val="24"/>
      <w:szCs w:val="24"/>
      <w:effect w:val="none"/>
      <w:vertAlign w:val="baseline"/>
      <w:cs w:val="0"/>
      <w:em w:val="none"/>
      <w:lang w:eastAsia="es-ES" w:val="es-ES"/>
    </w:rPr>
  </w:style>
  <w:style w:type="character" w:styleId="TextonotapieCar,fnCar,CarCar,FTCar,ftCarCar,ftCar1,FootnoteTextAGCar,CharCar,CharCar,CarCar,FootnoteTextCharCharCharCharCharCar,FootnoteTextCharCharCharCharCar,FootnotereferenceCar,FAFuCar,FootnoteTextCharCar">
    <w:name w:val="Texto nota pie Car,fn Car,Car Car,FT Car,ft Car Car,ft Car1,Footnote Text AG Car, Char Car,Char Car, Car Car,Footnote Text Char Char Char Char Char Car,Footnote Text Char Char Char Char Car,Footnote reference Car,FA Fu Car,Footnote Text Char Car"/>
    <w:next w:val="TextonotapieCar,fnCar,CarCar,FTCar,ftCarCar,ftCar1,FootnoteTextAGCar,CharCar,CharCar,CarCar,FootnoteTextCharCharCharCharCharCar,FootnoteTextCharCharCharCharCar,FootnotereferenceCar,FAFuCar,FootnoteTextCharCar"/>
    <w:autoRedefine w:val="0"/>
    <w:hidden w:val="0"/>
    <w:qFormat w:val="0"/>
    <w:rPr>
      <w:rFonts w:ascii="Calibri" w:cs="Times New Roman" w:eastAsia="Calibri" w:hAnsi="Calibri"/>
      <w:w w:val="100"/>
      <w:position w:val="-1"/>
      <w:effect w:val="none"/>
      <w:vertAlign w:val="baseline"/>
      <w:cs w:val="0"/>
      <w:em w:val="none"/>
      <w:lang/>
    </w:rPr>
  </w:style>
  <w:style w:type="paragraph" w:styleId="Textonotapie,fn,Car,FT,ftCar,ft,FootnoteTextAG,Char,Char,Car,FootnoteTextCharCharCharCharChar,FootnoteTextCharCharCharChar,Footnotereference,FAFu,FootnoteTextCharCharChar,FootnoteTextChar,textodenotaalpi,FootnoteTextCha">
    <w:name w:val="Texto nota pie,fn,Car,FT,ft Car,ft,Footnote Text AG, Char,Char, Car,Footnote Text Char Char Char Char Char,Footnote Text Char Char Char Char,Footnote reference,FA Fu,Footnote Text Char Char Char,Footnote Text Char,texto de nota al pi,Footnote Text Cha"/>
    <w:basedOn w:val="Normal"/>
    <w:next w:val="Textonotapie,fn,Car,FT,ftCar,ft,FootnoteTextAG,Char,Char,Car,FootnoteTextCharCharCharCharChar,FootnoteTextCharCharCharChar,Footnotereference,FAFu,FootnoteTextCharCharChar,FootnoteTextChar,textodenotaalpi,FootnoteTextCha"/>
    <w:autoRedefine w:val="0"/>
    <w:hidden w:val="0"/>
    <w:qFormat w:val="1"/>
    <w:pPr>
      <w:suppressAutoHyphens w:val="1"/>
      <w:spacing w:after="0" w:line="240" w:lineRule="auto"/>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US"/>
    </w:rPr>
  </w:style>
  <w:style w:type="character" w:styleId="TextonotapieCar1">
    <w:name w:val="Texto nota pie Car1"/>
    <w:next w:val="TextonotapieCar1"/>
    <w:autoRedefine w:val="0"/>
    <w:hidden w:val="0"/>
    <w:qFormat w:val="0"/>
    <w:rPr>
      <w:w w:val="100"/>
      <w:position w:val="-1"/>
      <w:sz w:val="20"/>
      <w:szCs w:val="20"/>
      <w:effect w:val="none"/>
      <w:vertAlign w:val="baseline"/>
      <w:cs w:val="0"/>
      <w:em w:val="none"/>
      <w:lang w:val="es-CO"/>
    </w:rPr>
  </w:style>
  <w:style w:type="character" w:styleId="Ref.denotaalpie,fr,Style49,Textodenotaalpie,referencianotaalpie,Footnotesrefss,Appelnotedebasdepage,Footnotenumber,BVIfnr,f,Ref.denotaalpie2,FootnoteReferencenew,o,FootnoteEYInterstate,FootnoteReferenceW,PiedePágina,FC">
    <w:name w:val="Ref. de nota al pie,fr,Style 49,Texto de nota al pie,referencia nota al pie,Footnotes refss,Appel note de bas de page,Footnote number,BVI fnr,f,Ref. de nota al pie 2,Footnote Reference new,o,Footnote EY Interstate,Footnote ReferenceW,Pie de Página,FC"/>
    <w:next w:val="Ref.denotaalpie,fr,Style49,Textodenotaalpie,referencianotaalpie,Footnotesrefss,Appelnotedebasdepage,Footnotenumber,BVIfnr,f,Ref.denotaalpie2,FootnoteReferencenew,o,FootnoteEYInterstate,FootnoteReferenceW,PiedePágina,FC"/>
    <w:autoRedefine w:val="0"/>
    <w:hidden w:val="0"/>
    <w:qFormat w:val="1"/>
    <w:rPr>
      <w:w w:val="100"/>
      <w:position w:val="-1"/>
      <w:effect w:val="none"/>
      <w:vertAlign w:val="superscript"/>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SJfmj31oZCvOYx3DRYWAeBjogA==">AMUW2mXh1nbgbN71yl/0Lf+8oJzD4TQpsFR0DvaQWnMkFqnREJ+pv5u0mWnG8Bp1Lx2MqXLPVdSCnFFfO672YM+/NxSz7EUrnnHy8VGJQB4H/xsek8PLo9A=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2022-03-15T16:20:00Z</dcterms:created>
  <dc:creator>User</dc:creator>
</cp:coreProperties>
</file>