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E12E" w14:textId="77777777" w:rsidR="00DD4768" w:rsidRDefault="00DD4768">
      <w:pPr>
        <w:widowControl w:val="0"/>
        <w:pBdr>
          <w:top w:val="nil"/>
          <w:left w:val="nil"/>
          <w:bottom w:val="nil"/>
          <w:right w:val="nil"/>
          <w:between w:val="nil"/>
        </w:pBdr>
        <w:spacing w:after="0" w:line="276" w:lineRule="auto"/>
      </w:pPr>
    </w:p>
    <w:p w14:paraId="0E04A823" w14:textId="77777777" w:rsidR="00DD4768" w:rsidRDefault="00000000">
      <w:pPr>
        <w:jc w:val="right"/>
        <w:rPr>
          <w:rFonts w:ascii="Times New Roman" w:eastAsia="Times New Roman" w:hAnsi="Times New Roman" w:cs="Times New Roman"/>
        </w:rPr>
      </w:pPr>
      <w:r>
        <w:rPr>
          <w:noProof/>
        </w:rPr>
        <mc:AlternateContent>
          <mc:Choice Requires="wps">
            <w:drawing>
              <wp:anchor distT="0" distB="0" distL="114300" distR="114300" simplePos="0" relativeHeight="251658240" behindDoc="0" locked="0" layoutInCell="1" hidden="0" allowOverlap="1" wp14:anchorId="5DE9D4F7" wp14:editId="6E9BEAC8">
                <wp:simplePos x="0" y="0"/>
                <wp:positionH relativeFrom="column">
                  <wp:posOffset>-481646</wp:posOffset>
                </wp:positionH>
                <wp:positionV relativeFrom="paragraph">
                  <wp:posOffset>-723581</wp:posOffset>
                </wp:positionV>
                <wp:extent cx="6473825" cy="1850101"/>
                <wp:effectExtent l="0" t="0" r="0" b="0"/>
                <wp:wrapNone/>
                <wp:docPr id="1877660494" name="Rectangle 1877660494"/>
                <wp:cNvGraphicFramePr/>
                <a:graphic xmlns:a="http://schemas.openxmlformats.org/drawingml/2006/main">
                  <a:graphicData uri="http://schemas.microsoft.com/office/word/2010/wordprocessingShape">
                    <wps:wsp>
                      <wps:cNvSpPr/>
                      <wps:spPr>
                        <a:xfrm>
                          <a:off x="2113850" y="2859712"/>
                          <a:ext cx="6464300" cy="184057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87947C" w14:textId="77777777" w:rsidR="00DD4768" w:rsidRDefault="00000000">
                            <w:pPr>
                              <w:spacing w:after="0" w:line="258" w:lineRule="auto"/>
                              <w:jc w:val="center"/>
                              <w:textDirection w:val="btLr"/>
                            </w:pPr>
                            <w:r>
                              <w:rPr>
                                <w:color w:val="000000"/>
                              </w:rPr>
                              <w:t>Biarkan kotak ini kosong</w:t>
                            </w:r>
                          </w:p>
                          <w:p w14:paraId="5B5832BC" w14:textId="77777777" w:rsidR="00DD4768" w:rsidRDefault="00000000">
                            <w:pPr>
                              <w:spacing w:after="0" w:line="258" w:lineRule="auto"/>
                              <w:jc w:val="center"/>
                              <w:textDirection w:val="btLr"/>
                            </w:pPr>
                            <w:r>
                              <w:rPr>
                                <w:color w:val="000000"/>
                              </w:rPr>
                              <w:t xml:space="preserve">Silahkan kirim online </w:t>
                            </w:r>
                            <w:r>
                              <w:rPr>
                                <w:color w:val="0000FF"/>
                                <w:u w:val="single"/>
                              </w:rPr>
                              <w:t>http://jurnal-itsi.org/index.php/jitsi/login</w:t>
                            </w:r>
                            <w:r>
                              <w:rPr>
                                <w:color w:val="000000"/>
                              </w:rPr>
                              <w:t xml:space="preserve"> dalam file DOC</w:t>
                            </w:r>
                          </w:p>
                          <w:p w14:paraId="619F4065" w14:textId="77777777" w:rsidR="00DD4768" w:rsidRDefault="00000000">
                            <w:pPr>
                              <w:spacing w:after="0" w:line="258" w:lineRule="auto"/>
                              <w:jc w:val="center"/>
                              <w:textDirection w:val="btLr"/>
                            </w:pPr>
                            <w:r>
                              <w:rPr>
                                <w:color w:val="000000"/>
                              </w:rPr>
                              <w:t>Editor tidak akan menerima pengiriman melalui email. Pastikan untuk memeriksa plagiat, ejaan, dan tata bahasa sebelum mengirimkan jurnal Anda.</w:t>
                            </w:r>
                          </w:p>
                        </w:txbxContent>
                      </wps:txbx>
                      <wps:bodyPr spcFirstLastPara="1" wrap="square" lIns="91425" tIns="586800" rIns="91425" bIns="45700" anchor="t" anchorCtr="0">
                        <a:noAutofit/>
                      </wps:bodyPr>
                    </wps:wsp>
                  </a:graphicData>
                </a:graphic>
              </wp:anchor>
            </w:drawing>
          </mc:Choice>
          <mc:Fallback>
            <w:pict>
              <v:rect w14:anchorId="5DE9D4F7" id="Rectangle 1877660494" o:spid="_x0000_s1026" style="position:absolute;left:0;text-align:left;margin-left:-37.9pt;margin-top:-56.95pt;width:509.75pt;height:145.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">
                <v:stroke startarrowwidth="narrow" startarrowlength="short" endarrowwidth="narrow" endarrowlength="short"/>
                <v:textbox inset="2.53958mm,16.3mm,2.53958mm,1.2694mm">
                  <w:txbxContent>
                    <w:p w14:paraId="3B87947C" w14:textId="77777777" w:rsidR="00DD4768" w:rsidRDefault="00000000">
                      <w:pPr>
                        <w:spacing w:after="0" w:line="258" w:lineRule="auto"/>
                        <w:jc w:val="center"/>
                        <w:textDirection w:val="btLr"/>
                      </w:pPr>
                      <w:r>
                        <w:rPr>
                          <w:color w:val="000000"/>
                        </w:rPr>
                        <w:t>Biarkan kotak ini kosong</w:t>
                      </w:r>
                    </w:p>
                    <w:p w14:paraId="5B5832BC" w14:textId="77777777" w:rsidR="00DD4768" w:rsidRDefault="00000000">
                      <w:pPr>
                        <w:spacing w:after="0" w:line="258" w:lineRule="auto"/>
                        <w:jc w:val="center"/>
                        <w:textDirection w:val="btLr"/>
                      </w:pPr>
                      <w:r>
                        <w:rPr>
                          <w:color w:val="000000"/>
                        </w:rPr>
                        <w:t xml:space="preserve">Silahkan kirim online </w:t>
                      </w:r>
                      <w:r>
                        <w:rPr>
                          <w:color w:val="0000FF"/>
                          <w:u w:val="single"/>
                        </w:rPr>
                        <w:t>http://jurnal-itsi.org/index.php/jitsi/login</w:t>
                      </w:r>
                      <w:r>
                        <w:rPr>
                          <w:color w:val="000000"/>
                        </w:rPr>
                        <w:t xml:space="preserve"> dalam file DOC</w:t>
                      </w:r>
                    </w:p>
                    <w:p w14:paraId="619F4065" w14:textId="77777777" w:rsidR="00DD4768" w:rsidRDefault="00000000">
                      <w:pPr>
                        <w:spacing w:after="0" w:line="258" w:lineRule="auto"/>
                        <w:jc w:val="center"/>
                        <w:textDirection w:val="btLr"/>
                      </w:pPr>
                      <w:r>
                        <w:rPr>
                          <w:color w:val="000000"/>
                        </w:rPr>
                        <w:t>Editor tidak akan menerima pengiriman melalui email. Pastikan untuk memeriksa plagiat, ejaan, dan tata bahasa sebelum mengirimkan jurnal Anda.</w:t>
                      </w:r>
                    </w:p>
                  </w:txbxContent>
                </v:textbox>
              </v:rect>
            </w:pict>
          </mc:Fallback>
        </mc:AlternateContent>
      </w:r>
    </w:p>
    <w:p w14:paraId="63B2F518" w14:textId="77777777" w:rsidR="00DD4768" w:rsidRDefault="00DD4768">
      <w:pPr>
        <w:jc w:val="right"/>
        <w:rPr>
          <w:rFonts w:ascii="Times New Roman" w:eastAsia="Times New Roman" w:hAnsi="Times New Roman" w:cs="Times New Roman"/>
        </w:rPr>
      </w:pPr>
    </w:p>
    <w:p w14:paraId="63718444" w14:textId="77777777" w:rsidR="00DD4768" w:rsidRDefault="00DD4768">
      <w:pPr>
        <w:jc w:val="right"/>
        <w:rPr>
          <w:rFonts w:ascii="Times New Roman" w:eastAsia="Times New Roman" w:hAnsi="Times New Roman" w:cs="Times New Roman"/>
        </w:rPr>
      </w:pPr>
    </w:p>
    <w:p w14:paraId="14EC09C9" w14:textId="77777777" w:rsidR="00DD4768" w:rsidRDefault="00DD4768">
      <w:pPr>
        <w:jc w:val="right"/>
        <w:rPr>
          <w:rFonts w:ascii="Times New Roman" w:eastAsia="Times New Roman" w:hAnsi="Times New Roman" w:cs="Times New Roman"/>
        </w:rPr>
      </w:pPr>
    </w:p>
    <w:p w14:paraId="3E4018C5" w14:textId="77777777" w:rsidR="00DD4768" w:rsidRDefault="00DD4768">
      <w:pPr>
        <w:jc w:val="right"/>
        <w:rPr>
          <w:rFonts w:ascii="Times New Roman" w:eastAsia="Times New Roman" w:hAnsi="Times New Roman" w:cs="Times New Roman"/>
        </w:rPr>
      </w:pPr>
    </w:p>
    <w:p w14:paraId="3C03129C" w14:textId="77777777" w:rsidR="00DD4768" w:rsidRDefault="00DD4768">
      <w:pPr>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p w14:paraId="5CEDCABA" w14:textId="77777777" w:rsidR="00DD4768" w:rsidRDefault="00000000">
      <w:pPr>
        <w:pStyle w:val="Subtitle"/>
      </w:pPr>
      <w:r>
        <w:rPr>
          <w:b w:val="0"/>
          <w:bCs w:val="0"/>
          <w:sz w:val="36"/>
          <w:szCs w:val="36"/>
        </w:rPr>
        <w:t>Strategi Sourcing Berkelanjutan MBG Berbasis Advanced Analytics: Analisis PESTLE dan Rantai Pasok</w:t>
      </w:r>
    </w:p>
    <w:p w14:paraId="29873C88" w14:textId="77777777" w:rsidR="00DD4768"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rPr>
        <w:t>Briyan Gifari Aji</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 Nab</w:t>
      </w:r>
      <w:r>
        <w:rPr>
          <w:rFonts w:ascii="Times New Roman" w:eastAsia="Times New Roman" w:hAnsi="Times New Roman" w:cs="Times New Roman"/>
        </w:rPr>
        <w:t>iel Muhammad Al Ghazali</w:t>
      </w:r>
      <w:r>
        <w:rPr>
          <w:rFonts w:ascii="Times New Roman" w:eastAsia="Times New Roman" w:hAnsi="Times New Roman" w:cs="Times New Roman"/>
          <w:vertAlign w:val="superscript"/>
        </w:rPr>
        <w:t>#</w:t>
      </w:r>
      <w:r>
        <w:rPr>
          <w:rFonts w:ascii="Times New Roman" w:eastAsia="Times New Roman" w:hAnsi="Times New Roman" w:cs="Times New Roman"/>
          <w:color w:val="000000"/>
        </w:rPr>
        <w:t>, Abdullah Fajar</w:t>
      </w:r>
      <w:r>
        <w:rPr>
          <w:rFonts w:ascii="Times New Roman" w:eastAsia="Times New Roman" w:hAnsi="Times New Roman" w:cs="Times New Roman"/>
          <w:color w:val="000000"/>
          <w:vertAlign w:val="superscript"/>
        </w:rPr>
        <w:t>#</w:t>
      </w:r>
    </w:p>
    <w:p w14:paraId="4429E3A8" w14:textId="77777777" w:rsidR="00DD4768" w:rsidRDefault="00000000">
      <w:pPr>
        <w:pBdr>
          <w:top w:val="nil"/>
          <w:left w:val="nil"/>
          <w:bottom w:val="nil"/>
          <w:right w:val="nil"/>
          <w:between w:val="nil"/>
        </w:pBdr>
        <w:spacing w:after="120" w:line="240" w:lineRule="auto"/>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vertAlign w:val="superscript"/>
        </w:rPr>
        <w:t xml:space="preserve"> # </w:t>
      </w:r>
      <w:r>
        <w:rPr>
          <w:rFonts w:ascii="Times New Roman" w:eastAsia="Times New Roman" w:hAnsi="Times New Roman" w:cs="Times New Roman"/>
          <w:i/>
          <w:iCs/>
          <w:sz w:val="18"/>
          <w:szCs w:val="18"/>
        </w:rPr>
        <w:t>Sistem Informasi</w:t>
      </w:r>
      <w:r>
        <w:rPr>
          <w:rFonts w:ascii="Times New Roman" w:eastAsia="Times New Roman" w:hAnsi="Times New Roman" w:cs="Times New Roman"/>
          <w:i/>
          <w:iCs/>
          <w:color w:val="000000"/>
          <w:sz w:val="18"/>
          <w:szCs w:val="18"/>
        </w:rPr>
        <w:t xml:space="preserve">, </w:t>
      </w:r>
      <w:r>
        <w:rPr>
          <w:rFonts w:ascii="Times New Roman" w:eastAsia="Times New Roman" w:hAnsi="Times New Roman" w:cs="Times New Roman"/>
          <w:i/>
          <w:iCs/>
          <w:sz w:val="18"/>
          <w:szCs w:val="18"/>
        </w:rPr>
        <w:t>Fakultas Rekasaya Industri</w:t>
      </w:r>
      <w:r>
        <w:rPr>
          <w:rFonts w:ascii="Times New Roman" w:eastAsia="Times New Roman" w:hAnsi="Times New Roman" w:cs="Times New Roman"/>
          <w:i/>
          <w:iCs/>
          <w:color w:val="000000"/>
          <w:sz w:val="18"/>
          <w:szCs w:val="18"/>
        </w:rPr>
        <w:t>, Universitas Tel</w:t>
      </w:r>
      <w:r>
        <w:rPr>
          <w:rFonts w:ascii="Times New Roman" w:eastAsia="Times New Roman" w:hAnsi="Times New Roman" w:cs="Times New Roman"/>
          <w:i/>
          <w:iCs/>
          <w:sz w:val="18"/>
          <w:szCs w:val="18"/>
        </w:rPr>
        <w:t>kom</w:t>
      </w:r>
      <w:r>
        <w:rPr>
          <w:rFonts w:ascii="Times New Roman" w:eastAsia="Times New Roman" w:hAnsi="Times New Roman" w:cs="Times New Roman"/>
          <w:i/>
          <w:iCs/>
          <w:color w:val="000000"/>
          <w:sz w:val="18"/>
          <w:szCs w:val="18"/>
        </w:rPr>
        <w:t xml:space="preserve">, </w:t>
      </w:r>
      <w:r>
        <w:rPr>
          <w:rFonts w:ascii="Times New Roman" w:eastAsia="Times New Roman" w:hAnsi="Times New Roman" w:cs="Times New Roman"/>
          <w:i/>
          <w:iCs/>
          <w:sz w:val="18"/>
          <w:szCs w:val="18"/>
        </w:rPr>
        <w:t>Bandung</w:t>
      </w:r>
      <w:r>
        <w:rPr>
          <w:rFonts w:ascii="Times New Roman" w:eastAsia="Times New Roman" w:hAnsi="Times New Roman" w:cs="Times New Roman"/>
          <w:i/>
          <w:iCs/>
          <w:color w:val="000000"/>
          <w:sz w:val="18"/>
          <w:szCs w:val="18"/>
        </w:rPr>
        <w:t>, 40257, Indonesia</w:t>
      </w:r>
      <w:r>
        <w:rPr>
          <w:rFonts w:ascii="Times New Roman" w:eastAsia="Times New Roman" w:hAnsi="Times New Roman" w:cs="Times New Roman"/>
          <w:i/>
          <w:iCs/>
          <w:color w:val="000000"/>
          <w:sz w:val="18"/>
          <w:szCs w:val="18"/>
        </w:rPr>
        <w:tab/>
      </w:r>
      <w:r>
        <w:rPr>
          <w:rFonts w:ascii="Times New Roman" w:eastAsia="Times New Roman" w:hAnsi="Times New Roman" w:cs="Times New Roman"/>
          <w:i/>
          <w:iCs/>
          <w:color w:val="000000"/>
          <w:sz w:val="18"/>
          <w:szCs w:val="18"/>
        </w:rPr>
        <w:br/>
        <w:t>E-mail: briyangifaria</w:t>
      </w:r>
      <w:r>
        <w:rPr>
          <w:rFonts w:ascii="Times New Roman" w:eastAsia="Times New Roman" w:hAnsi="Times New Roman" w:cs="Times New Roman"/>
          <w:i/>
          <w:iCs/>
          <w:sz w:val="18"/>
          <w:szCs w:val="18"/>
        </w:rPr>
        <w:t>ji@student.telkomuniversity.ac.id</w:t>
      </w:r>
      <w:r>
        <w:rPr>
          <w:rFonts w:ascii="Times New Roman" w:eastAsia="Times New Roman" w:hAnsi="Times New Roman" w:cs="Times New Roman"/>
          <w:i/>
          <w:iCs/>
          <w:color w:val="000000"/>
          <w:sz w:val="18"/>
          <w:szCs w:val="18"/>
        </w:rPr>
        <w:t xml:space="preserve">, </w:t>
      </w:r>
      <w:r>
        <w:rPr>
          <w:rFonts w:ascii="Times New Roman" w:eastAsia="Times New Roman" w:hAnsi="Times New Roman" w:cs="Times New Roman"/>
          <w:i/>
          <w:iCs/>
          <w:sz w:val="18"/>
          <w:szCs w:val="18"/>
        </w:rPr>
        <w:t>nabielmuhammadal</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student.telkomuniversity.ac.id</w:t>
      </w:r>
    </w:p>
    <w:tbl>
      <w:tblPr>
        <w:tblStyle w:val="a"/>
        <w:tblW w:w="9026" w:type="dxa"/>
        <w:tblLayout w:type="fixed"/>
        <w:tblLook w:val="0400" w:firstRow="0" w:lastRow="0" w:firstColumn="0" w:lastColumn="0" w:noHBand="0" w:noVBand="1"/>
      </w:tblPr>
      <w:tblGrid>
        <w:gridCol w:w="6237"/>
        <w:gridCol w:w="320"/>
        <w:gridCol w:w="2469"/>
      </w:tblGrid>
      <w:tr w:rsidR="00DD4768" w14:paraId="5A095C40" w14:textId="77777777">
        <w:tc>
          <w:tcPr>
            <w:tcW w:w="6237" w:type="dxa"/>
            <w:tcBorders>
              <w:top w:val="single" w:sz="12" w:space="0" w:color="000000"/>
              <w:bottom w:val="single" w:sz="12" w:space="0" w:color="000000"/>
            </w:tcBorders>
          </w:tcPr>
          <w:p w14:paraId="160F6AFE" w14:textId="77777777" w:rsidR="00DD4768"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 B S T R A C T S    </w:t>
            </w:r>
          </w:p>
        </w:tc>
        <w:tc>
          <w:tcPr>
            <w:tcW w:w="320" w:type="dxa"/>
          </w:tcPr>
          <w:p w14:paraId="68884646" w14:textId="77777777" w:rsidR="00DD4768" w:rsidRDefault="00DD4768">
            <w:pPr>
              <w:spacing w:after="0" w:line="240" w:lineRule="auto"/>
              <w:jc w:val="center"/>
              <w:rPr>
                <w:rFonts w:ascii="Times New Roman" w:eastAsia="Times New Roman" w:hAnsi="Times New Roman" w:cs="Times New Roman"/>
                <w:sz w:val="20"/>
                <w:szCs w:val="20"/>
              </w:rPr>
            </w:pPr>
          </w:p>
        </w:tc>
        <w:tc>
          <w:tcPr>
            <w:tcW w:w="2469" w:type="dxa"/>
            <w:vMerge w:val="restart"/>
            <w:tcBorders>
              <w:top w:val="single" w:sz="12" w:space="0" w:color="000000"/>
              <w:left w:val="nil"/>
            </w:tcBorders>
          </w:tcPr>
          <w:p w14:paraId="4EFCC784" w14:textId="77777777" w:rsidR="00DD4768" w:rsidRDefault="00DD4768">
            <w:pPr>
              <w:spacing w:after="0" w:line="240" w:lineRule="auto"/>
              <w:rPr>
                <w:rFonts w:ascii="Times New Roman" w:eastAsia="Times New Roman" w:hAnsi="Times New Roman" w:cs="Times New Roman"/>
                <w:color w:val="5B9BD5"/>
                <w:sz w:val="20"/>
                <w:szCs w:val="20"/>
              </w:rPr>
            </w:pPr>
          </w:p>
          <w:p w14:paraId="527EF5DC" w14:textId="77777777" w:rsidR="00DD4768" w:rsidRDefault="00000000">
            <w:pPr>
              <w:spacing w:after="0" w:line="240" w:lineRule="auto"/>
              <w:jc w:val="right"/>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Manuscript received ………; revised …………. accepted …… Date of publication ………... International Journal, JITSI : Jurnal Ilmiah Teknologi Sistem Informasi licensed under a Creative Commons Attribution-Share Alike 4.0 International License</w:t>
            </w:r>
          </w:p>
          <w:p w14:paraId="6BAAC9C4" w14:textId="77777777" w:rsidR="00DD4768" w:rsidRDefault="00DD4768">
            <w:pPr>
              <w:spacing w:after="0" w:line="240" w:lineRule="auto"/>
              <w:jc w:val="right"/>
              <w:rPr>
                <w:rFonts w:ascii="Times New Roman" w:eastAsia="Times New Roman" w:hAnsi="Times New Roman" w:cs="Times New Roman"/>
                <w:color w:val="5B9BD5"/>
                <w:sz w:val="20"/>
                <w:szCs w:val="20"/>
              </w:rPr>
            </w:pPr>
          </w:p>
          <w:p w14:paraId="120B6409" w14:textId="77777777" w:rsidR="00DD4768"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noProof/>
              </w:rPr>
              <w:drawing>
                <wp:inline distT="0" distB="0" distL="0" distR="0" wp14:anchorId="6E8AFFCD" wp14:editId="65845322">
                  <wp:extent cx="733425" cy="257175"/>
                  <wp:effectExtent l="0" t="0" r="0" b="0"/>
                  <wp:docPr id="18776604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33425" cy="257175"/>
                          </a:xfrm>
                          <a:prstGeom prst="rect">
                            <a:avLst/>
                          </a:prstGeom>
                          <a:ln/>
                        </pic:spPr>
                      </pic:pic>
                    </a:graphicData>
                  </a:graphic>
                </wp:inline>
              </w:drawing>
            </w:r>
          </w:p>
        </w:tc>
      </w:tr>
      <w:tr w:rsidR="00DD4768" w14:paraId="33B6A1A2" w14:textId="77777777">
        <w:tc>
          <w:tcPr>
            <w:tcW w:w="6237" w:type="dxa"/>
            <w:tcBorders>
              <w:top w:val="single" w:sz="12" w:space="0" w:color="000000"/>
            </w:tcBorders>
          </w:tcPr>
          <w:p w14:paraId="3424D8D2" w14:textId="77777777" w:rsidR="00DD4768" w:rsidRDefault="00DD476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049EB467" w14:textId="77777777" w:rsidR="00DD4768"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The Free Nutritious Meal Program (MBG) is a national strategic initiative facing complex challenges in balancing supply security and environmental sustainability. This study aims to implement an Advanced Analytics framework to evaluate supplier performance based on the Triple Bottom Line principle. Using real logistics datasets for strategic commodities (Rice and Soybeans), this study applies the Weighted Scoring Model algorithm with parameters of logistics efficiency (40%), environmental impact (30%), and volume security (30%). The analysis of the supply chain shows a total carbon footprint (Scope 3) of 112.11 tons of CO2 with an average distribution distance of 297 KM. The model successfully identified the best "Green Suppliers," with the Pelalawan–Siak route recording the highest sustainability score (0.89) due to the balance of volume and distance. This study recommends the adoption of a data-driven scoring system to mitigate carbon emissions in the MBG supply chain.</w:t>
            </w:r>
          </w:p>
          <w:p w14:paraId="577B8B2A" w14:textId="77777777" w:rsidR="00DD4768" w:rsidRDefault="00DD4768">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tc>
        <w:tc>
          <w:tcPr>
            <w:tcW w:w="320" w:type="dxa"/>
          </w:tcPr>
          <w:p w14:paraId="3996A97E" w14:textId="77777777" w:rsidR="00DD4768" w:rsidRDefault="00DD4768">
            <w:pPr>
              <w:spacing w:after="0" w:line="240" w:lineRule="auto"/>
              <w:rPr>
                <w:rFonts w:ascii="Times New Roman" w:eastAsia="Times New Roman" w:hAnsi="Times New Roman" w:cs="Times New Roman"/>
                <w:i/>
                <w:iCs/>
                <w:sz w:val="20"/>
                <w:szCs w:val="20"/>
              </w:rPr>
            </w:pPr>
          </w:p>
        </w:tc>
        <w:tc>
          <w:tcPr>
            <w:tcW w:w="2469" w:type="dxa"/>
            <w:vMerge/>
            <w:tcBorders>
              <w:top w:val="single" w:sz="12" w:space="0" w:color="000000"/>
              <w:left w:val="nil"/>
            </w:tcBorders>
          </w:tcPr>
          <w:p w14:paraId="63F11B71" w14:textId="77777777" w:rsidR="00DD4768" w:rsidRDefault="00DD4768">
            <w:pPr>
              <w:widowControl w:val="0"/>
              <w:pBdr>
                <w:top w:val="nil"/>
                <w:left w:val="nil"/>
                <w:bottom w:val="nil"/>
                <w:right w:val="nil"/>
                <w:between w:val="nil"/>
              </w:pBdr>
              <w:spacing w:after="0" w:line="276" w:lineRule="auto"/>
              <w:rPr>
                <w:rFonts w:ascii="Times New Roman" w:eastAsia="Times New Roman" w:hAnsi="Times New Roman" w:cs="Times New Roman"/>
                <w:i/>
                <w:iCs/>
                <w:sz w:val="20"/>
                <w:szCs w:val="20"/>
              </w:rPr>
            </w:pPr>
          </w:p>
        </w:tc>
      </w:tr>
      <w:tr w:rsidR="00DD4768" w14:paraId="7BB0782D" w14:textId="77777777">
        <w:tc>
          <w:tcPr>
            <w:tcW w:w="6237" w:type="dxa"/>
            <w:tcBorders>
              <w:top w:val="single" w:sz="12" w:space="0" w:color="000000"/>
            </w:tcBorders>
          </w:tcPr>
          <w:p w14:paraId="006386B1" w14:textId="77777777" w:rsidR="00DD4768"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A B S T R A K    </w:t>
            </w:r>
          </w:p>
        </w:tc>
        <w:tc>
          <w:tcPr>
            <w:tcW w:w="320" w:type="dxa"/>
          </w:tcPr>
          <w:p w14:paraId="0532E8AE" w14:textId="77777777" w:rsidR="00DD4768" w:rsidRDefault="00DD4768">
            <w:pPr>
              <w:spacing w:after="0" w:line="240" w:lineRule="auto"/>
              <w:rPr>
                <w:rFonts w:ascii="Times New Roman" w:eastAsia="Times New Roman" w:hAnsi="Times New Roman" w:cs="Times New Roman"/>
                <w:i/>
                <w:iCs/>
                <w:sz w:val="20"/>
                <w:szCs w:val="20"/>
              </w:rPr>
            </w:pPr>
          </w:p>
        </w:tc>
        <w:tc>
          <w:tcPr>
            <w:tcW w:w="2469" w:type="dxa"/>
            <w:vMerge/>
            <w:tcBorders>
              <w:top w:val="single" w:sz="12" w:space="0" w:color="000000"/>
              <w:left w:val="nil"/>
            </w:tcBorders>
          </w:tcPr>
          <w:p w14:paraId="0D150D6B" w14:textId="77777777" w:rsidR="00DD4768" w:rsidRDefault="00DD4768">
            <w:pPr>
              <w:widowControl w:val="0"/>
              <w:pBdr>
                <w:top w:val="nil"/>
                <w:left w:val="nil"/>
                <w:bottom w:val="nil"/>
                <w:right w:val="nil"/>
                <w:between w:val="nil"/>
              </w:pBdr>
              <w:spacing w:after="0" w:line="276" w:lineRule="auto"/>
              <w:rPr>
                <w:rFonts w:ascii="Times New Roman" w:eastAsia="Times New Roman" w:hAnsi="Times New Roman" w:cs="Times New Roman"/>
                <w:i/>
                <w:iCs/>
                <w:sz w:val="20"/>
                <w:szCs w:val="20"/>
              </w:rPr>
            </w:pPr>
          </w:p>
        </w:tc>
      </w:tr>
      <w:tr w:rsidR="00DD4768" w14:paraId="060F4ECE" w14:textId="77777777">
        <w:tc>
          <w:tcPr>
            <w:tcW w:w="6237" w:type="dxa"/>
            <w:tcBorders>
              <w:top w:val="single" w:sz="12" w:space="0" w:color="000000"/>
            </w:tcBorders>
          </w:tcPr>
          <w:p w14:paraId="3BFF5A1C" w14:textId="77777777" w:rsidR="00DD4768" w:rsidRDefault="00DD476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4E30BADD" w14:textId="77777777" w:rsidR="00DD4768"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Program Makan Bergizi Gratis (MBG) merupakan inisiatif strategis nasional yang menghadapi tantangan kompleks dalam menyeimbangkan ketahanan pasokan dan keberlanjutan lingkungan. Penelitian ini bertujuan mengimplementasikan kerangka kerja </w:t>
            </w:r>
            <w:r>
              <w:rPr>
                <w:rFonts w:ascii="Times New Roman" w:eastAsia="Times New Roman" w:hAnsi="Times New Roman" w:cs="Times New Roman"/>
                <w:i/>
                <w:iCs/>
                <w:sz w:val="18"/>
                <w:szCs w:val="18"/>
              </w:rPr>
              <w:t>Advanced Analytics</w:t>
            </w:r>
            <w:r>
              <w:rPr>
                <w:rFonts w:ascii="Times New Roman" w:eastAsia="Times New Roman" w:hAnsi="Times New Roman" w:cs="Times New Roman"/>
                <w:sz w:val="18"/>
                <w:szCs w:val="18"/>
              </w:rPr>
              <w:t xml:space="preserve"> untuk menilai kinerja </w:t>
            </w:r>
            <w:r>
              <w:rPr>
                <w:rFonts w:ascii="Times New Roman" w:eastAsia="Times New Roman" w:hAnsi="Times New Roman" w:cs="Times New Roman"/>
                <w:i/>
                <w:iCs/>
                <w:sz w:val="18"/>
                <w:szCs w:val="18"/>
              </w:rPr>
              <w:t>supplier</w:t>
            </w:r>
            <w:r>
              <w:rPr>
                <w:rFonts w:ascii="Times New Roman" w:eastAsia="Times New Roman" w:hAnsi="Times New Roman" w:cs="Times New Roman"/>
                <w:sz w:val="18"/>
                <w:szCs w:val="18"/>
              </w:rPr>
              <w:t xml:space="preserve"> berdasarkan prinsip </w:t>
            </w:r>
            <w:r>
              <w:rPr>
                <w:rFonts w:ascii="Times New Roman" w:eastAsia="Times New Roman" w:hAnsi="Times New Roman" w:cs="Times New Roman"/>
                <w:i/>
                <w:iCs/>
                <w:sz w:val="18"/>
                <w:szCs w:val="18"/>
              </w:rPr>
              <w:t>Triple Bottom Line</w:t>
            </w:r>
            <w:r>
              <w:rPr>
                <w:rFonts w:ascii="Times New Roman" w:eastAsia="Times New Roman" w:hAnsi="Times New Roman" w:cs="Times New Roman"/>
                <w:sz w:val="18"/>
                <w:szCs w:val="18"/>
              </w:rPr>
              <w:t xml:space="preserve">. Menggunakan dataset logistik riil untuk komoditas strategis (Beras dan Kedelai), penelitian ini menerapkan algoritma </w:t>
            </w:r>
            <w:r>
              <w:rPr>
                <w:rFonts w:ascii="Times New Roman" w:eastAsia="Times New Roman" w:hAnsi="Times New Roman" w:cs="Times New Roman"/>
                <w:i/>
                <w:iCs/>
                <w:sz w:val="18"/>
                <w:szCs w:val="18"/>
              </w:rPr>
              <w:t>Weighted Scoring Model</w:t>
            </w:r>
            <w:r>
              <w:rPr>
                <w:rFonts w:ascii="Times New Roman" w:eastAsia="Times New Roman" w:hAnsi="Times New Roman" w:cs="Times New Roman"/>
                <w:sz w:val="18"/>
                <w:szCs w:val="18"/>
              </w:rPr>
              <w:t xml:space="preserve"> dengan parameter efisiensi logistik (40%), dampak lingkungan (30%), dan keamanan volume (30%). Hasil analisis terhadap rantai pasok menunjukkan total jejak karbon (</w:t>
            </w:r>
            <w:r>
              <w:rPr>
                <w:rFonts w:ascii="Times New Roman" w:eastAsia="Times New Roman" w:hAnsi="Times New Roman" w:cs="Times New Roman"/>
                <w:i/>
                <w:iCs/>
                <w:sz w:val="18"/>
                <w:szCs w:val="18"/>
              </w:rPr>
              <w:t>Scope 3</w:t>
            </w:r>
            <w:r>
              <w:rPr>
                <w:rFonts w:ascii="Times New Roman" w:eastAsia="Times New Roman" w:hAnsi="Times New Roman" w:cs="Times New Roman"/>
                <w:sz w:val="18"/>
                <w:szCs w:val="18"/>
              </w:rPr>
              <w:t xml:space="preserve">) sebesar 112,11 ton CO2 dengan rata-rata jarak tempuh distribusi 297 KM. Model berhasil mengidentifikasi </w:t>
            </w:r>
            <w:r>
              <w:rPr>
                <w:rFonts w:ascii="Times New Roman" w:eastAsia="Times New Roman" w:hAnsi="Times New Roman" w:cs="Times New Roman"/>
                <w:i/>
                <w:iCs/>
                <w:sz w:val="18"/>
                <w:szCs w:val="18"/>
              </w:rPr>
              <w:t>"Green Suppliers"</w:t>
            </w:r>
            <w:r>
              <w:rPr>
                <w:rFonts w:ascii="Times New Roman" w:eastAsia="Times New Roman" w:hAnsi="Times New Roman" w:cs="Times New Roman"/>
                <w:sz w:val="18"/>
                <w:szCs w:val="18"/>
              </w:rPr>
              <w:t xml:space="preserve"> terbaik, dengan rute Kabupaten Pelalawan–Siak mencatatkan skor keberlanjutan tertinggi (0,89) berkat keseimbangan volume dan jarak. Penelitian ini merekomendasikan adopsi sistem penilaian berbasis data untuk memitigasi emisi karbon dalam rantai pasok MBG.</w:t>
            </w:r>
          </w:p>
          <w:p w14:paraId="3E7D9032" w14:textId="77777777" w:rsidR="00DD4768" w:rsidRDefault="00DD476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tc>
        <w:tc>
          <w:tcPr>
            <w:tcW w:w="320" w:type="dxa"/>
          </w:tcPr>
          <w:p w14:paraId="721194D2" w14:textId="77777777" w:rsidR="00DD4768" w:rsidRDefault="00DD4768">
            <w:pPr>
              <w:spacing w:after="0" w:line="240" w:lineRule="auto"/>
              <w:rPr>
                <w:rFonts w:ascii="Times New Roman" w:eastAsia="Times New Roman" w:hAnsi="Times New Roman" w:cs="Times New Roman"/>
                <w:i/>
                <w:iCs/>
                <w:sz w:val="20"/>
                <w:szCs w:val="20"/>
              </w:rPr>
            </w:pPr>
          </w:p>
        </w:tc>
        <w:tc>
          <w:tcPr>
            <w:tcW w:w="2469" w:type="dxa"/>
            <w:vMerge/>
            <w:tcBorders>
              <w:top w:val="single" w:sz="12" w:space="0" w:color="000000"/>
              <w:left w:val="nil"/>
            </w:tcBorders>
          </w:tcPr>
          <w:p w14:paraId="27872125" w14:textId="77777777" w:rsidR="00DD4768" w:rsidRDefault="00DD4768">
            <w:pPr>
              <w:widowControl w:val="0"/>
              <w:pBdr>
                <w:top w:val="nil"/>
                <w:left w:val="nil"/>
                <w:bottom w:val="nil"/>
                <w:right w:val="nil"/>
                <w:between w:val="nil"/>
              </w:pBdr>
              <w:spacing w:after="0" w:line="276" w:lineRule="auto"/>
              <w:rPr>
                <w:rFonts w:ascii="Times New Roman" w:eastAsia="Times New Roman" w:hAnsi="Times New Roman" w:cs="Times New Roman"/>
                <w:i/>
                <w:iCs/>
                <w:sz w:val="20"/>
                <w:szCs w:val="20"/>
              </w:rPr>
            </w:pPr>
          </w:p>
        </w:tc>
      </w:tr>
      <w:tr w:rsidR="00DD4768" w14:paraId="0118F24B" w14:textId="77777777">
        <w:tc>
          <w:tcPr>
            <w:tcW w:w="9026" w:type="dxa"/>
            <w:gridSpan w:val="3"/>
            <w:tcBorders>
              <w:bottom w:val="single" w:sz="12" w:space="0" w:color="000000"/>
            </w:tcBorders>
          </w:tcPr>
          <w:p w14:paraId="144ED775" w14:textId="77777777" w:rsidR="00DD4768" w:rsidRDefault="00000000">
            <w:pPr>
              <w:widowControl w:val="0"/>
              <w:spacing w:after="0" w:line="182" w:lineRule="auto"/>
              <w:ind w:hanging="7"/>
              <w:rPr>
                <w:rFonts w:ascii="Times New Roman" w:eastAsia="Times New Roman" w:hAnsi="Times New Roman" w:cs="Times New Roman"/>
                <w:b/>
                <w:bCs/>
                <w:i/>
                <w:iCs/>
                <w:color w:val="000000"/>
                <w:sz w:val="18"/>
                <w:szCs w:val="18"/>
              </w:rPr>
            </w:pPr>
            <w:r>
              <w:rPr>
                <w:rFonts w:ascii="Times New Roman" w:eastAsia="Times New Roman" w:hAnsi="Times New Roman" w:cs="Times New Roman"/>
                <w:b/>
                <w:bCs/>
                <w:color w:val="000000"/>
                <w:sz w:val="18"/>
                <w:szCs w:val="18"/>
              </w:rPr>
              <w:t xml:space="preserve">Keywords: </w:t>
            </w:r>
            <w:r>
              <w:rPr>
                <w:rFonts w:ascii="Times New Roman" w:eastAsia="Times New Roman" w:hAnsi="Times New Roman" w:cs="Times New Roman"/>
                <w:b/>
                <w:bCs/>
                <w:i/>
                <w:iCs/>
                <w:color w:val="000000"/>
                <w:sz w:val="18"/>
                <w:szCs w:val="18"/>
              </w:rPr>
              <w:t xml:space="preserve"> </w:t>
            </w:r>
            <w:r>
              <w:rPr>
                <w:rFonts w:ascii="Times New Roman" w:eastAsia="Times New Roman" w:hAnsi="Times New Roman" w:cs="Times New Roman"/>
                <w:b/>
                <w:bCs/>
                <w:i/>
                <w:iCs/>
                <w:sz w:val="18"/>
                <w:szCs w:val="18"/>
              </w:rPr>
              <w:t>MBG Program; Advanced Analytics; Sustainable Sourcing; Carbon Footprint; Supply Chain Management.</w:t>
            </w:r>
          </w:p>
          <w:p w14:paraId="2FAC53D5" w14:textId="77777777" w:rsidR="00DD4768" w:rsidRDefault="00DD4768">
            <w:pPr>
              <w:widowControl w:val="0"/>
              <w:spacing w:after="0" w:line="182" w:lineRule="auto"/>
              <w:ind w:hanging="7"/>
              <w:rPr>
                <w:rFonts w:ascii="Times New Roman" w:eastAsia="Times New Roman" w:hAnsi="Times New Roman" w:cs="Times New Roman"/>
                <w:i/>
                <w:iCs/>
                <w:color w:val="000000"/>
                <w:sz w:val="16"/>
                <w:szCs w:val="16"/>
              </w:rPr>
            </w:pPr>
          </w:p>
        </w:tc>
      </w:tr>
      <w:tr w:rsidR="00DD4768" w14:paraId="52DADDFD" w14:textId="77777777">
        <w:tc>
          <w:tcPr>
            <w:tcW w:w="9026" w:type="dxa"/>
            <w:gridSpan w:val="3"/>
            <w:tcBorders>
              <w:top w:val="single" w:sz="12" w:space="0" w:color="000000"/>
            </w:tcBorders>
          </w:tcPr>
          <w:p w14:paraId="3513C78B" w14:textId="77777777" w:rsidR="00DD4768" w:rsidRDefault="00DD4768">
            <w:pPr>
              <w:widowControl w:val="0"/>
              <w:spacing w:after="0" w:line="182" w:lineRule="auto"/>
              <w:rPr>
                <w:rFonts w:ascii="Times New Roman" w:eastAsia="Times New Roman" w:hAnsi="Times New Roman" w:cs="Times New Roman"/>
                <w:i/>
                <w:iCs/>
                <w:color w:val="000000"/>
                <w:sz w:val="16"/>
                <w:szCs w:val="16"/>
              </w:rPr>
            </w:pPr>
          </w:p>
        </w:tc>
      </w:tr>
    </w:tbl>
    <w:p w14:paraId="3183049F" w14:textId="77777777" w:rsidR="00DD4768" w:rsidRDefault="00000000">
      <w:pPr>
        <w:numPr>
          <w:ilvl w:val="0"/>
          <w:numId w:val="7"/>
        </w:numPr>
        <w:pBdr>
          <w:top w:val="nil"/>
          <w:left w:val="nil"/>
          <w:bottom w:val="nil"/>
          <w:right w:val="nil"/>
          <w:between w:val="nil"/>
        </w:pBdr>
        <w:spacing w:before="240" w:after="80" w:line="240" w:lineRule="auto"/>
        <w:ind w:left="289" w:hanging="289"/>
        <w:jc w:val="center"/>
        <w:rPr>
          <w:rFonts w:ascii="Times New Roman" w:eastAsia="Times New Roman" w:hAnsi="Times New Roman" w:cs="Times New Roman"/>
          <w:b/>
          <w:bCs/>
          <w:smallCaps/>
          <w:color w:val="000000"/>
          <w:sz w:val="20"/>
          <w:szCs w:val="20"/>
        </w:rPr>
      </w:pPr>
      <w:r>
        <w:rPr>
          <w:rFonts w:ascii="Times New Roman" w:eastAsia="Times New Roman" w:hAnsi="Times New Roman" w:cs="Times New Roman"/>
          <w:b/>
          <w:bCs/>
          <w:smallCaps/>
          <w:color w:val="000000"/>
          <w:sz w:val="20"/>
          <w:szCs w:val="20"/>
        </w:rPr>
        <w:t>Pendahuluan</w:t>
      </w:r>
    </w:p>
    <w:p w14:paraId="0A55117F" w14:textId="313D7042"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0" w:name="_heading=h.afgg5f4go3x3" w:colFirst="0" w:colLast="0"/>
      <w:bookmarkEnd w:id="0"/>
      <w:r>
        <w:rPr>
          <w:rFonts w:ascii="Times New Roman" w:eastAsia="Times New Roman" w:hAnsi="Times New Roman" w:cs="Times New Roman"/>
          <w:sz w:val="20"/>
          <w:szCs w:val="20"/>
        </w:rPr>
        <w:t xml:space="preserve">Program Makan Bergizi Gratis (MBG) merupakan salah satu pilar utama dalam strategi pembangunan nasional pemerintah Indonesia untuk menyongsong visi Indonesia Emas 2045 </w:t>
      </w:r>
      <w:sdt>
        <w:sdtPr>
          <w:rPr>
            <w:rFonts w:ascii="Times New Roman" w:eastAsia="Times New Roman" w:hAnsi="Times New Roman" w:cs="Times New Roman"/>
            <w:color w:val="000000"/>
            <w:sz w:val="20"/>
            <w:szCs w:val="20"/>
          </w:rPr>
          <w:tag w:val="MENDELEY_CITATION_v3_eyJjaXRhdGlvbklEIjoiTUVOREVMRVlfQ0lUQVRJT05fOWUxMWVmZDMtN2RkYS00ZjQ2LWFhMjItZGEwMDU0ODY2YjU0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
          <w:id w:val="-1456867359"/>
          <w:placeholder>
            <w:docPart w:val="DefaultPlaceholder_-1854013440"/>
          </w:placeholder>
        </w:sdtPr>
        <w:sdtContent>
          <w:r w:rsidR="00BB30C9" w:rsidRPr="00BB30C9">
            <w:rPr>
              <w:rFonts w:ascii="Times New Roman" w:eastAsia="Times New Roman" w:hAnsi="Times New Roman" w:cs="Times New Roman"/>
              <w:color w:val="000000"/>
              <w:sz w:val="20"/>
              <w:szCs w:val="20"/>
            </w:rPr>
            <w:t>[1]</w:t>
          </w:r>
        </w:sdtContent>
      </w:sdt>
      <w:r>
        <w:rPr>
          <w:rFonts w:ascii="Times New Roman" w:eastAsia="Times New Roman" w:hAnsi="Times New Roman" w:cs="Times New Roman"/>
          <w:sz w:val="20"/>
          <w:szCs w:val="20"/>
        </w:rPr>
        <w:t xml:space="preserve">. Program ini dirancang sebagai intervensi gizi spesifik dan sensitif untuk menanggulangi masalah stunting dan wasting yang masih menjadi ancaman serius </w:t>
      </w:r>
      <w:r>
        <w:rPr>
          <w:rFonts w:ascii="Times New Roman" w:eastAsia="Times New Roman" w:hAnsi="Times New Roman" w:cs="Times New Roman"/>
          <w:sz w:val="20"/>
          <w:szCs w:val="20"/>
        </w:rPr>
        <w:lastRenderedPageBreak/>
        <w:t xml:space="preserve">bagi kualitas sumber daya manusia Indonesia. Berdasarkan data kesehatan nasional, defisiensi makronutrien dan mikronutrien pada anak usia sekolah berdampak langsung pada penurunan kemampuan kognitif dan imunitas fisik </w:t>
      </w:r>
      <w:sdt>
        <w:sdtPr>
          <w:rPr>
            <w:rFonts w:ascii="Times New Roman" w:eastAsia="Times New Roman" w:hAnsi="Times New Roman" w:cs="Times New Roman"/>
            <w:color w:val="000000"/>
            <w:sz w:val="20"/>
            <w:szCs w:val="20"/>
          </w:rPr>
          <w:tag w:val="MENDELEY_CITATION_v3_eyJjaXRhdGlvbklEIjoiTUVOREVMRVlfQ0lUQVRJT05fNzVkZjkxNGYtZDQ3OS00MzM0LTg5YjMtYzQ1YWNjZjY2ZDVl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
          <w:id w:val="-305004470"/>
          <w:placeholder>
            <w:docPart w:val="F79547129DA94E2284DA21261F5F6592"/>
          </w:placeholder>
        </w:sdtPr>
        <w:sdtContent>
          <w:r w:rsidR="00BB30C9" w:rsidRPr="00BB30C9">
            <w:rPr>
              <w:rFonts w:ascii="Times New Roman" w:eastAsia="Times New Roman" w:hAnsi="Times New Roman" w:cs="Times New Roman"/>
              <w:color w:val="000000"/>
              <w:sz w:val="20"/>
              <w:szCs w:val="20"/>
            </w:rPr>
            <w:t>[1]</w:t>
          </w:r>
        </w:sdtContent>
      </w:sdt>
      <w:r>
        <w:rPr>
          <w:rFonts w:ascii="Times New Roman" w:eastAsia="Times New Roman" w:hAnsi="Times New Roman" w:cs="Times New Roman"/>
          <w:sz w:val="20"/>
          <w:szCs w:val="20"/>
        </w:rPr>
        <w:t xml:space="preserve">. Oleh karena itu, MBG menargetkan cakupan penerima manfaat yang sangat luas, mulai dari ibu hamil, ibu menyusui, balita, hingga siswa jenjang PAUD, SD, SMP, SMA, dan santri di pesantren </w:t>
      </w:r>
      <w:sdt>
        <w:sdtPr>
          <w:rPr>
            <w:rFonts w:ascii="Times New Roman" w:eastAsia="Times New Roman" w:hAnsi="Times New Roman" w:cs="Times New Roman"/>
            <w:color w:val="000000"/>
            <w:sz w:val="20"/>
            <w:szCs w:val="20"/>
          </w:rPr>
          <w:tag w:val="MENDELEY_CITATION_v3_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UsImxvY2F0b3IiOiI5In1dfQ=="/>
          <w:id w:val="-2124294908"/>
          <w:placeholder>
            <w:docPart w:val="DefaultPlaceholder_-1854013440"/>
          </w:placeholder>
        </w:sdtPr>
        <w:sdtContent>
          <w:r w:rsidR="00BB30C9" w:rsidRPr="00BB30C9">
            <w:rPr>
              <w:rFonts w:ascii="Times New Roman" w:eastAsia="Times New Roman" w:hAnsi="Times New Roman" w:cs="Times New Roman"/>
              <w:color w:val="000000"/>
              <w:sz w:val="20"/>
              <w:szCs w:val="20"/>
            </w:rPr>
            <w:t>[1, p. 9], [2]</w:t>
          </w:r>
        </w:sdtContent>
      </w:sdt>
      <w:r w:rsidR="00593FF1">
        <w:rPr>
          <w:rFonts w:ascii="Times New Roman" w:eastAsia="Times New Roman" w:hAnsi="Times New Roman" w:cs="Times New Roman"/>
          <w:sz w:val="20"/>
          <w:szCs w:val="20"/>
        </w:rPr>
        <w:t>.</w:t>
      </w:r>
    </w:p>
    <w:p w14:paraId="7C8CDE6B" w14:textId="7544FE2E"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1" w:name="_heading=h.oh1smk34cnp7" w:colFirst="0" w:colLast="0"/>
      <w:bookmarkEnd w:id="1"/>
      <w:r>
        <w:rPr>
          <w:rFonts w:ascii="Times New Roman" w:eastAsia="Times New Roman" w:hAnsi="Times New Roman" w:cs="Times New Roman"/>
          <w:sz w:val="20"/>
          <w:szCs w:val="20"/>
        </w:rPr>
        <w:t>Namun, skala implementasi yang masif ini membawa konsekuensi logistik yang sangat kompleks. Setiap hari, jutaan ton bahan pangan termasuk beras, kedelai, daging, dan sayuran harus didistribusikan ke ribuan titik layanan di seluruh pelosok nusantara. Dalam konteks manajemen rantai pasok (</w:t>
      </w:r>
      <w:r>
        <w:rPr>
          <w:rFonts w:ascii="Times New Roman" w:eastAsia="Times New Roman" w:hAnsi="Times New Roman" w:cs="Times New Roman"/>
          <w:i/>
          <w:iCs/>
          <w:sz w:val="20"/>
          <w:szCs w:val="20"/>
        </w:rPr>
        <w:t>Supply Chain Management</w:t>
      </w:r>
      <w:r>
        <w:rPr>
          <w:rFonts w:ascii="Times New Roman" w:eastAsia="Times New Roman" w:hAnsi="Times New Roman" w:cs="Times New Roman"/>
          <w:sz w:val="20"/>
          <w:szCs w:val="20"/>
        </w:rPr>
        <w:t xml:space="preserve">), volume pergerakan barang sebesar ini menimbulkan jejak ekologis yang signifikan. Sektor transportasi logistik pangan diketahui sebagai salah satu penyumbang emisi Gas Rumah Kaca (GRK) terbesar, khususnya melalui emisi karbon dioksida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dari pembakaran bahan bakar fosil armada truk distribusi </w:t>
      </w:r>
      <w:sdt>
        <w:sdtPr>
          <w:rPr>
            <w:rFonts w:ascii="Times New Roman" w:eastAsia="Times New Roman" w:hAnsi="Times New Roman" w:cs="Times New Roman"/>
            <w:color w:val="000000"/>
            <w:sz w:val="20"/>
            <w:szCs w:val="20"/>
          </w:rPr>
          <w:tag w:val="MENDELEY_CITATION_v3_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"/>
          <w:id w:val="-482774590"/>
          <w:placeholder>
            <w:docPart w:val="DefaultPlaceholder_-1854013440"/>
          </w:placeholder>
        </w:sdtPr>
        <w:sdtContent>
          <w:r w:rsidR="00BB30C9" w:rsidRPr="00BB30C9">
            <w:rPr>
              <w:rFonts w:ascii="Times New Roman" w:eastAsia="Times New Roman" w:hAnsi="Times New Roman" w:cs="Times New Roman"/>
              <w:color w:val="000000"/>
              <w:sz w:val="20"/>
              <w:szCs w:val="20"/>
            </w:rPr>
            <w:t>[3]</w:t>
          </w:r>
        </w:sdtContent>
      </w:sdt>
      <w:r>
        <w:rPr>
          <w:rFonts w:ascii="Times New Roman" w:eastAsia="Times New Roman" w:hAnsi="Times New Roman" w:cs="Times New Roman"/>
          <w:sz w:val="20"/>
          <w:szCs w:val="20"/>
        </w:rPr>
        <w:t>. Fenomena ini menciptakan paradoks kebijakan: di satu sisi pemerintah berupaya meningkatkan kesehatan masyarakat, namun di sisi lain aktivitas logistik program ini berpotensi memperburuk degradasi lingkungan jika tidak dikelola dengan prinsip keberlanjutan.</w:t>
      </w:r>
    </w:p>
    <w:p w14:paraId="433DB24C" w14:textId="5360C17C"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2" w:name="_heading=h.8wm49dq5eis7" w:colFirst="0" w:colLast="0"/>
      <w:bookmarkEnd w:id="2"/>
      <w:r>
        <w:rPr>
          <w:rFonts w:ascii="Times New Roman" w:eastAsia="Times New Roman" w:hAnsi="Times New Roman" w:cs="Times New Roman"/>
          <w:sz w:val="20"/>
          <w:szCs w:val="20"/>
        </w:rPr>
        <w:t xml:space="preserve">Tantangan semakin pelik ketika dihadapkan pada persyaratan standar mutu yang ketat. Buku Pedoman Standar Gizi MBG mewajibkan setiap bahan pangan memenuhi kriteria keamanan pangan sesuai UU No. 18 Tahun 2012 dan Standar Nasional Indonesia (SNI) </w:t>
      </w:r>
      <w:sdt>
        <w:sdtPr>
          <w:rPr>
            <w:rFonts w:ascii="Times New Roman" w:eastAsia="Times New Roman" w:hAnsi="Times New Roman" w:cs="Times New Roman"/>
            <w:color w:val="000000"/>
            <w:sz w:val="20"/>
            <w:szCs w:val="20"/>
          </w:rPr>
          <w:tag w:val="MENDELEY_CITATION_v3_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"/>
          <w:id w:val="987137046"/>
          <w:placeholder>
            <w:docPart w:val="DefaultPlaceholder_-1854013440"/>
          </w:placeholder>
        </w:sdtPr>
        <w:sdtContent>
          <w:r w:rsidR="00BB30C9" w:rsidRPr="00BB30C9">
            <w:rPr>
              <w:rFonts w:ascii="Times New Roman" w:eastAsia="Times New Roman" w:hAnsi="Times New Roman" w:cs="Times New Roman"/>
              <w:color w:val="000000"/>
              <w:sz w:val="20"/>
              <w:szCs w:val="20"/>
            </w:rPr>
            <w:t>[1, pp. 10–11], [4]</w:t>
          </w:r>
        </w:sdtContent>
      </w:sdt>
      <w:r>
        <w:rPr>
          <w:rFonts w:ascii="Times New Roman" w:eastAsia="Times New Roman" w:hAnsi="Times New Roman" w:cs="Times New Roman"/>
          <w:sz w:val="20"/>
          <w:szCs w:val="20"/>
        </w:rPr>
        <w:t>. Bahan pangan segar seperti daging dan sayur memiliki batasan waktu simpan (</w:t>
      </w:r>
      <w:r>
        <w:rPr>
          <w:rFonts w:ascii="Times New Roman" w:eastAsia="Times New Roman" w:hAnsi="Times New Roman" w:cs="Times New Roman"/>
          <w:i/>
          <w:iCs/>
          <w:sz w:val="20"/>
          <w:szCs w:val="20"/>
        </w:rPr>
        <w:t>shelf-life</w:t>
      </w:r>
      <w:r>
        <w:rPr>
          <w:rFonts w:ascii="Times New Roman" w:eastAsia="Times New Roman" w:hAnsi="Times New Roman" w:cs="Times New Roman"/>
          <w:sz w:val="20"/>
          <w:szCs w:val="20"/>
        </w:rPr>
        <w:t>) yang pendek, sehingga keterlambatan distribusi akibat jarak tempuh yang jauh tidak hanya meningkatkan emisi, tetapi juga risiko kerusakan bahan pangan (</w:t>
      </w:r>
      <w:r>
        <w:rPr>
          <w:rFonts w:ascii="Times New Roman" w:eastAsia="Times New Roman" w:hAnsi="Times New Roman" w:cs="Times New Roman"/>
          <w:i/>
          <w:iCs/>
          <w:sz w:val="20"/>
          <w:szCs w:val="20"/>
        </w:rPr>
        <w:t>food loss</w:t>
      </w:r>
      <w:r>
        <w:rPr>
          <w:rFonts w:ascii="Times New Roman" w:eastAsia="Times New Roman" w:hAnsi="Times New Roman" w:cs="Times New Roman"/>
          <w:sz w:val="20"/>
          <w:szCs w:val="20"/>
        </w:rPr>
        <w:t>). Oleh karena itu, strategi pengadaan (sourcing) konvensional yang hanya berorientasi pada harga terendah (</w:t>
      </w:r>
      <w:r>
        <w:rPr>
          <w:rFonts w:ascii="Times New Roman" w:eastAsia="Times New Roman" w:hAnsi="Times New Roman" w:cs="Times New Roman"/>
          <w:i/>
          <w:iCs/>
          <w:sz w:val="20"/>
          <w:szCs w:val="20"/>
        </w:rPr>
        <w:t>cost leadership</w:t>
      </w:r>
      <w:r>
        <w:rPr>
          <w:rFonts w:ascii="Times New Roman" w:eastAsia="Times New Roman" w:hAnsi="Times New Roman" w:cs="Times New Roman"/>
          <w:sz w:val="20"/>
          <w:szCs w:val="20"/>
        </w:rPr>
        <w:t xml:space="preserve">) tidak lagi relevan. Diperlukan transformasi menuju Sustainable Sourcing yang menyeimbangkan tiga pilar utama Triple Bottom Line: keuntungan ekonomi (biaya efisien), kelestarian lingkungan (emisi rendah), dan kesejahteraan sosial (pemberdayaan petani lokal) </w:t>
      </w:r>
      <w:sdt>
        <w:sdtPr>
          <w:rPr>
            <w:rFonts w:ascii="Times New Roman" w:eastAsia="Times New Roman" w:hAnsi="Times New Roman" w:cs="Times New Roman"/>
            <w:color w:val="000000"/>
            <w:sz w:val="20"/>
            <w:szCs w:val="20"/>
          </w:rPr>
          <w:tag w:val="MENDELEY_CITATION_v3_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"/>
          <w:id w:val="1013034222"/>
          <w:placeholder>
            <w:docPart w:val="DefaultPlaceholder_-1854013440"/>
          </w:placeholder>
        </w:sdtPr>
        <w:sdtContent>
          <w:r w:rsidR="00BB30C9" w:rsidRPr="00BB30C9">
            <w:rPr>
              <w:rFonts w:ascii="Times New Roman" w:eastAsia="Times New Roman" w:hAnsi="Times New Roman" w:cs="Times New Roman"/>
              <w:color w:val="000000"/>
              <w:sz w:val="20"/>
              <w:szCs w:val="20"/>
            </w:rPr>
            <w:t>[5]</w:t>
          </w:r>
        </w:sdtContent>
      </w:sdt>
      <w:r>
        <w:rPr>
          <w:rFonts w:ascii="Times New Roman" w:eastAsia="Times New Roman" w:hAnsi="Times New Roman" w:cs="Times New Roman"/>
          <w:sz w:val="20"/>
          <w:szCs w:val="20"/>
        </w:rPr>
        <w:t>.</w:t>
      </w:r>
    </w:p>
    <w:p w14:paraId="30EDD82A" w14:textId="2846D385"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3" w:name="_heading=h.o5ei4e6u81q1" w:colFirst="0" w:colLast="0"/>
      <w:bookmarkEnd w:id="3"/>
      <w:r>
        <w:rPr>
          <w:rFonts w:ascii="Times New Roman" w:eastAsia="Times New Roman" w:hAnsi="Times New Roman" w:cs="Times New Roman"/>
          <w:sz w:val="20"/>
          <w:szCs w:val="20"/>
        </w:rPr>
        <w:t>Literatur mengenai manajemen rantai pasok pangan (</w:t>
      </w:r>
      <w:r>
        <w:rPr>
          <w:rFonts w:ascii="Times New Roman" w:eastAsia="Times New Roman" w:hAnsi="Times New Roman" w:cs="Times New Roman"/>
          <w:i/>
          <w:iCs/>
          <w:sz w:val="20"/>
          <w:szCs w:val="20"/>
        </w:rPr>
        <w:t>Food Supply Chain</w:t>
      </w:r>
      <w:r>
        <w:rPr>
          <w:rFonts w:ascii="Times New Roman" w:eastAsia="Times New Roman" w:hAnsi="Times New Roman" w:cs="Times New Roman"/>
          <w:sz w:val="20"/>
          <w:szCs w:val="20"/>
        </w:rPr>
        <w:t xml:space="preserve">) telah berkembang pesat dalam dekade terakhir. Organisasi Pangan dan Pertanian Dunia (FAO) menekankan bahwa program makan sekolah harus menjadi katalisator bagi ekonomi lokal melalui model </w:t>
      </w:r>
      <w:r>
        <w:rPr>
          <w:rFonts w:ascii="Times New Roman" w:eastAsia="Times New Roman" w:hAnsi="Times New Roman" w:cs="Times New Roman"/>
          <w:i/>
          <w:iCs/>
          <w:sz w:val="20"/>
          <w:szCs w:val="20"/>
        </w:rPr>
        <w:t>Home Grown School Feeding</w:t>
      </w:r>
      <w:r>
        <w:rPr>
          <w:rFonts w:ascii="Times New Roman" w:eastAsia="Times New Roman" w:hAnsi="Times New Roman" w:cs="Times New Roman"/>
          <w:sz w:val="20"/>
          <w:szCs w:val="20"/>
        </w:rPr>
        <w:t xml:space="preserve"> (HGSF) </w:t>
      </w:r>
      <w:sdt>
        <w:sdtPr>
          <w:rPr>
            <w:rFonts w:ascii="Times New Roman" w:eastAsia="Times New Roman" w:hAnsi="Times New Roman" w:cs="Times New Roman"/>
            <w:color w:val="000000"/>
            <w:sz w:val="20"/>
            <w:szCs w:val="20"/>
          </w:rPr>
          <w:tag w:val="MENDELEY_CITATION_v3_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"/>
          <w:id w:val="-965352407"/>
          <w:placeholder>
            <w:docPart w:val="DefaultPlaceholder_-1854013440"/>
          </w:placeholder>
        </w:sdtPr>
        <w:sdtContent>
          <w:r w:rsidR="00BB30C9" w:rsidRPr="00BB30C9">
            <w:rPr>
              <w:rFonts w:ascii="Times New Roman" w:eastAsia="Times New Roman" w:hAnsi="Times New Roman" w:cs="Times New Roman"/>
              <w:color w:val="000000"/>
              <w:sz w:val="20"/>
              <w:szCs w:val="20"/>
            </w:rPr>
            <w:t>[2]</w:t>
          </w:r>
        </w:sdtContent>
      </w:sdt>
      <w:r>
        <w:rPr>
          <w:rFonts w:ascii="Times New Roman" w:eastAsia="Times New Roman" w:hAnsi="Times New Roman" w:cs="Times New Roman"/>
          <w:sz w:val="20"/>
          <w:szCs w:val="20"/>
        </w:rPr>
        <w:t>. Konsep ini menganjurkan pengadaan bahan pangan dari petani lokal untuk memangkas jarak distribusi. Studi terbaru dari Sharma et al. (2022) dan Ivanov (2020) juga menyoroti pentingnya desentralisasi rantai pasok untuk meningkatkan ketahanan (</w:t>
      </w:r>
      <w:r>
        <w:rPr>
          <w:rFonts w:ascii="Times New Roman" w:eastAsia="Times New Roman" w:hAnsi="Times New Roman" w:cs="Times New Roman"/>
          <w:i/>
          <w:iCs/>
          <w:sz w:val="20"/>
          <w:szCs w:val="20"/>
        </w:rPr>
        <w:t>resilience</w:t>
      </w:r>
      <w:r>
        <w:rPr>
          <w:rFonts w:ascii="Times New Roman" w:eastAsia="Times New Roman" w:hAnsi="Times New Roman" w:cs="Times New Roman"/>
          <w:sz w:val="20"/>
          <w:szCs w:val="20"/>
        </w:rPr>
        <w:t xml:space="preserve">) pasca-pandemi COVID-19 </w:t>
      </w:r>
      <w:sdt>
        <w:sdtPr>
          <w:rPr>
            <w:rFonts w:ascii="Times New Roman" w:eastAsia="Times New Roman" w:hAnsi="Times New Roman" w:cs="Times New Roman"/>
            <w:color w:val="000000"/>
            <w:sz w:val="20"/>
            <w:szCs w:val="20"/>
          </w:rPr>
          <w:tag w:val="MENDELEY_CITATION_v3_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"/>
          <w:id w:val="-574976500"/>
          <w:placeholder>
            <w:docPart w:val="DefaultPlaceholder_-1854013440"/>
          </w:placeholder>
        </w:sdtPr>
        <w:sdtContent>
          <w:r w:rsidR="00BB30C9" w:rsidRPr="00BB30C9">
            <w:rPr>
              <w:rFonts w:ascii="Times New Roman" w:eastAsia="Times New Roman" w:hAnsi="Times New Roman" w:cs="Times New Roman"/>
              <w:color w:val="000000"/>
              <w:sz w:val="20"/>
              <w:szCs w:val="20"/>
            </w:rPr>
            <w:t>[6], [7]</w:t>
          </w:r>
        </w:sdtContent>
      </w:sdt>
      <w:r>
        <w:rPr>
          <w:rFonts w:ascii="Times New Roman" w:eastAsia="Times New Roman" w:hAnsi="Times New Roman" w:cs="Times New Roman"/>
          <w:sz w:val="20"/>
          <w:szCs w:val="20"/>
        </w:rPr>
        <w:t>. Mereka berargumen bahwa rantai pasok yang pendek lebih tahan terhadap guncangan global dibandingkan rantai pasok panjang yang bergantung pada impor.</w:t>
      </w:r>
    </w:p>
    <w:p w14:paraId="2F8A92D5" w14:textId="563A8329"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4" w:name="_heading=h.6n9qayec95bo" w:colFirst="0" w:colLast="0"/>
      <w:bookmarkEnd w:id="4"/>
      <w:r>
        <w:rPr>
          <w:rFonts w:ascii="Times New Roman" w:eastAsia="Times New Roman" w:hAnsi="Times New Roman" w:cs="Times New Roman"/>
          <w:sz w:val="20"/>
          <w:szCs w:val="20"/>
        </w:rPr>
        <w:t>Namun, terdapat kesenjangan penelitian (</w:t>
      </w:r>
      <w:r>
        <w:rPr>
          <w:rFonts w:ascii="Times New Roman" w:eastAsia="Times New Roman" w:hAnsi="Times New Roman" w:cs="Times New Roman"/>
          <w:i/>
          <w:iCs/>
          <w:sz w:val="20"/>
          <w:szCs w:val="20"/>
        </w:rPr>
        <w:t>research gap</w:t>
      </w:r>
      <w:r>
        <w:rPr>
          <w:rFonts w:ascii="Times New Roman" w:eastAsia="Times New Roman" w:hAnsi="Times New Roman" w:cs="Times New Roman"/>
          <w:sz w:val="20"/>
          <w:szCs w:val="20"/>
        </w:rPr>
        <w:t xml:space="preserve">) yang signifikan dalam konteks implementasi di Indonesia. Sebagian besar studi terdahulu berfokus pada aspek nutrisi dan kepatuhan menu </w:t>
      </w:r>
      <w:sdt>
        <w:sdtPr>
          <w:rPr>
            <w:rFonts w:ascii="Times New Roman" w:eastAsia="Times New Roman" w:hAnsi="Times New Roman" w:cs="Times New Roman"/>
            <w:color w:val="000000"/>
            <w:sz w:val="20"/>
            <w:szCs w:val="20"/>
          </w:rPr>
          <w:tag w:val="MENDELEY_CITATION_v3_eyJjaXRhdGlvbklEIjoiTUVOREVMRVlfQ0lUQVRJT05fMTI3YzMyMTktNzMwZi00NmJjLWFlNTQtMDMyYTg3YTYyMTU3IiwicHJvcGVydGllcyI6eyJub3RlSW5kZXgiOjB9LCJpc0VkaXRlZCI6ZmFsc2UsIm1hbnVhbE92ZXJyaWRlIjp7ImlzTWFudWFsbHlPdmVycmlkZGVuIjpmYWxzZSwiY2l0ZXByb2NUZXh0IjoiWzEsIHBwLiAxMOKAkzExXSIsIm1hbnVhbE92ZXJyaWRlVGV4dCI6IiJ9LCJjaXRhdGlvbkl0ZW1zIjpbeyJkaXNwbGF5QXMiOiJvcmlnaW5hbCIsImxhYmVsIjoicGFnZSIs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UsImxvY2F0b3IiOiIxMC0xMSJ9XX0="/>
          <w:id w:val="273373458"/>
          <w:placeholder>
            <w:docPart w:val="DefaultPlaceholder_-1854013440"/>
          </w:placeholder>
        </w:sdtPr>
        <w:sdtContent>
          <w:r w:rsidR="00BB30C9" w:rsidRPr="00BB30C9">
            <w:rPr>
              <w:rFonts w:ascii="Times New Roman" w:eastAsia="Times New Roman" w:hAnsi="Times New Roman" w:cs="Times New Roman"/>
              <w:color w:val="000000"/>
              <w:sz w:val="20"/>
              <w:szCs w:val="20"/>
            </w:rPr>
            <w:t>[1, pp. 10–11]</w:t>
          </w:r>
        </w:sdtContent>
      </w:sdt>
      <w:r>
        <w:rPr>
          <w:rFonts w:ascii="Times New Roman" w:eastAsia="Times New Roman" w:hAnsi="Times New Roman" w:cs="Times New Roman"/>
          <w:sz w:val="20"/>
          <w:szCs w:val="20"/>
        </w:rPr>
        <w:t>, atau aspek makro-ekonomi program bantuan sosial. Belum banyak penelitian yang secara spesifik mengukur jejak karbon (</w:t>
      </w:r>
      <w:r>
        <w:rPr>
          <w:rFonts w:ascii="Times New Roman" w:eastAsia="Times New Roman" w:hAnsi="Times New Roman" w:cs="Times New Roman"/>
          <w:i/>
          <w:iCs/>
          <w:sz w:val="20"/>
          <w:szCs w:val="20"/>
        </w:rPr>
        <w:t>carbon footprint</w:t>
      </w:r>
      <w:r>
        <w:rPr>
          <w:rFonts w:ascii="Times New Roman" w:eastAsia="Times New Roman" w:hAnsi="Times New Roman" w:cs="Times New Roman"/>
          <w:sz w:val="20"/>
          <w:szCs w:val="20"/>
        </w:rPr>
        <w:t>) dari aktivitas logistik program MBG menggunakan data riil, serta bagaimana data tersebut dapat diintegrasikan ke dalam sistem pengambilan keputusan (</w:t>
      </w:r>
      <w:r>
        <w:rPr>
          <w:rFonts w:ascii="Times New Roman" w:eastAsia="Times New Roman" w:hAnsi="Times New Roman" w:cs="Times New Roman"/>
          <w:i/>
          <w:iCs/>
          <w:sz w:val="20"/>
          <w:szCs w:val="20"/>
        </w:rPr>
        <w:t>Decision Support System</w:t>
      </w:r>
      <w:r>
        <w:rPr>
          <w:rFonts w:ascii="Times New Roman" w:eastAsia="Times New Roman" w:hAnsi="Times New Roman" w:cs="Times New Roman"/>
          <w:sz w:val="20"/>
          <w:szCs w:val="20"/>
        </w:rPr>
        <w:t xml:space="preserve">) pemilihan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Penelitian ini hadir untuk mengisi kekosongan tersebut dengan menerapkan pendekatan </w:t>
      </w:r>
      <w:r>
        <w:rPr>
          <w:rFonts w:ascii="Times New Roman" w:eastAsia="Times New Roman" w:hAnsi="Times New Roman" w:cs="Times New Roman"/>
          <w:i/>
          <w:iCs/>
          <w:sz w:val="20"/>
          <w:szCs w:val="20"/>
        </w:rPr>
        <w:t>Advanced Analytics</w:t>
      </w:r>
      <w:r>
        <w:rPr>
          <w:rFonts w:ascii="Times New Roman" w:eastAsia="Times New Roman" w:hAnsi="Times New Roman" w:cs="Times New Roman"/>
          <w:sz w:val="20"/>
          <w:szCs w:val="20"/>
        </w:rPr>
        <w:t xml:space="preserve"> yang menggabungkan analisis geospasial (jarak), analisis lingkungan (emisi), dan analisis operasional (volume) dalam satu model penilaian terpadu.</w:t>
      </w:r>
    </w:p>
    <w:p w14:paraId="722FCB78"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bookmarkStart w:id="5" w:name="_heading=h.9fn3t2xieukx" w:colFirst="0" w:colLast="0"/>
      <w:bookmarkEnd w:id="5"/>
      <w:r>
        <w:rPr>
          <w:rFonts w:ascii="Times New Roman" w:eastAsia="Times New Roman" w:hAnsi="Times New Roman" w:cs="Times New Roman"/>
          <w:sz w:val="20"/>
          <w:szCs w:val="20"/>
        </w:rPr>
        <w:t xml:space="preserve">Penelitian ini bertujuan untuk merancang kerangka kerja strategis dalam pemilihan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bahan pangan MBG yang berkelanjutan. Secara spesifik, tujuan penelitian ini adalah:</w:t>
      </w:r>
    </w:p>
    <w:p w14:paraId="2E9DAF7C" w14:textId="77777777" w:rsidR="00DD4768" w:rsidRDefault="00000000">
      <w:pPr>
        <w:numPr>
          <w:ilvl w:val="0"/>
          <w:numId w:val="1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Mengukur total emisi karbon (</w:t>
      </w:r>
      <w:r>
        <w:rPr>
          <w:rFonts w:ascii="Times New Roman" w:eastAsia="Times New Roman" w:hAnsi="Times New Roman" w:cs="Times New Roman"/>
          <w:i/>
          <w:iCs/>
          <w:sz w:val="20"/>
          <w:szCs w:val="20"/>
        </w:rPr>
        <w:t>Scope 3 Emissions</w:t>
      </w:r>
      <w:r>
        <w:rPr>
          <w:rFonts w:ascii="Times New Roman" w:eastAsia="Times New Roman" w:hAnsi="Times New Roman" w:cs="Times New Roman"/>
          <w:sz w:val="20"/>
          <w:szCs w:val="20"/>
        </w:rPr>
        <w:t>) yang dihasilkan dari aktivitas distribusi komoditas strategis (Beras dan Kedelai) berdasarkan data transaksi logistik riil.</w:t>
      </w:r>
    </w:p>
    <w:p w14:paraId="7261E94F" w14:textId="77777777" w:rsidR="00DD4768" w:rsidRDefault="00000000">
      <w:pPr>
        <w:numPr>
          <w:ilvl w:val="0"/>
          <w:numId w:val="1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Menganalisis profil rantai pasok saat ini untuk mengidentifikasi inefisiensi dalam pola distribusi antar-wilayah.</w:t>
      </w:r>
    </w:p>
    <w:p w14:paraId="31405D8F" w14:textId="77777777" w:rsidR="00DD4768" w:rsidRDefault="00000000">
      <w:pPr>
        <w:numPr>
          <w:ilvl w:val="0"/>
          <w:numId w:val="1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Mengembangkan model </w:t>
      </w:r>
      <w:r>
        <w:rPr>
          <w:rFonts w:ascii="Times New Roman" w:eastAsia="Times New Roman" w:hAnsi="Times New Roman" w:cs="Times New Roman"/>
          <w:i/>
          <w:iCs/>
          <w:sz w:val="20"/>
          <w:szCs w:val="20"/>
        </w:rPr>
        <w:t>Weighted Scoring</w:t>
      </w:r>
      <w:r>
        <w:rPr>
          <w:rFonts w:ascii="Times New Roman" w:eastAsia="Times New Roman" w:hAnsi="Times New Roman" w:cs="Times New Roman"/>
          <w:sz w:val="20"/>
          <w:szCs w:val="20"/>
        </w:rPr>
        <w:t xml:space="preserve"> berbasis data untuk mengidentifikasi dan memprioritaskan </w:t>
      </w:r>
      <w:r>
        <w:rPr>
          <w:rFonts w:ascii="Times New Roman" w:eastAsia="Times New Roman" w:hAnsi="Times New Roman" w:cs="Times New Roman"/>
          <w:i/>
          <w:iCs/>
          <w:sz w:val="20"/>
          <w:szCs w:val="20"/>
        </w:rPr>
        <w:t>Green Suppliers</w:t>
      </w:r>
      <w:r>
        <w:rPr>
          <w:rFonts w:ascii="Times New Roman" w:eastAsia="Times New Roman" w:hAnsi="Times New Roman" w:cs="Times New Roman"/>
          <w:sz w:val="20"/>
          <w:szCs w:val="20"/>
        </w:rPr>
        <w:t xml:space="preserve"> yang mampu menyeimbangkan kapasitas pasokan dan dampak lingkungan.</w:t>
      </w:r>
    </w:p>
    <w:p w14:paraId="0D51F31F" w14:textId="77777777" w:rsidR="00DD4768" w:rsidRDefault="00000000">
      <w:pPr>
        <w:numPr>
          <w:ilvl w:val="0"/>
          <w:numId w:val="11"/>
        </w:numPr>
        <w:spacing w:after="0" w:line="240" w:lineRule="auto"/>
        <w:jc w:val="both"/>
        <w:rPr>
          <w:rFonts w:ascii="Times New Roman" w:eastAsia="Times New Roman" w:hAnsi="Times New Roman" w:cs="Times New Roman"/>
          <w:sz w:val="20"/>
          <w:szCs w:val="20"/>
        </w:rPr>
      </w:pPr>
      <w:bookmarkStart w:id="6" w:name="_heading=h.3i0lo1npajm2" w:colFirst="0" w:colLast="0"/>
      <w:bookmarkEnd w:id="6"/>
      <w:r>
        <w:rPr>
          <w:rFonts w:ascii="Times New Roman" w:eastAsia="Times New Roman" w:hAnsi="Times New Roman" w:cs="Times New Roman"/>
          <w:sz w:val="20"/>
          <w:szCs w:val="20"/>
        </w:rPr>
        <w:t>Merumuskan rekomendasi kebijakan berbasis analisis PESTLE (</w:t>
      </w:r>
      <w:r>
        <w:rPr>
          <w:rFonts w:ascii="Times New Roman" w:eastAsia="Times New Roman" w:hAnsi="Times New Roman" w:cs="Times New Roman"/>
          <w:i/>
          <w:iCs/>
          <w:sz w:val="20"/>
          <w:szCs w:val="20"/>
        </w:rPr>
        <w:t>Political, Economic, Social, Technological, Legal, Environmental</w:t>
      </w:r>
      <w:r>
        <w:rPr>
          <w:rFonts w:ascii="Times New Roman" w:eastAsia="Times New Roman" w:hAnsi="Times New Roman" w:cs="Times New Roman"/>
          <w:sz w:val="20"/>
          <w:szCs w:val="20"/>
        </w:rPr>
        <w:t>) untuk mendukung keberlanjutan program MBG jangka panjang.</w:t>
      </w:r>
    </w:p>
    <w:p w14:paraId="1BE89A45" w14:textId="77777777" w:rsidR="00DD4768" w:rsidRDefault="00000000">
      <w:pPr>
        <w:pBdr>
          <w:top w:val="nil"/>
          <w:left w:val="nil"/>
          <w:bottom w:val="nil"/>
          <w:right w:val="nil"/>
          <w:between w:val="nil"/>
        </w:pBdr>
        <w:spacing w:before="120" w:after="0" w:line="240" w:lineRule="auto"/>
        <w:ind w:firstLine="216"/>
        <w:jc w:val="both"/>
        <w:rPr>
          <w:rFonts w:ascii="Times New Roman" w:eastAsia="Times New Roman" w:hAnsi="Times New Roman" w:cs="Times New Roman"/>
          <w:sz w:val="20"/>
          <w:szCs w:val="20"/>
        </w:rPr>
      </w:pPr>
      <w:bookmarkStart w:id="7" w:name="_heading=h.pjmeu1cde1n" w:colFirst="0" w:colLast="0"/>
      <w:bookmarkEnd w:id="7"/>
      <w:r>
        <w:rPr>
          <w:rFonts w:ascii="Times New Roman" w:eastAsia="Times New Roman" w:hAnsi="Times New Roman" w:cs="Times New Roman"/>
          <w:sz w:val="20"/>
          <w:szCs w:val="20"/>
        </w:rPr>
        <w:t xml:space="preserve">Kontribusi kebaruan dari penelitian ini terletak pada integrasi algoritma </w:t>
      </w:r>
      <w:r>
        <w:rPr>
          <w:rFonts w:ascii="Times New Roman" w:eastAsia="Times New Roman" w:hAnsi="Times New Roman" w:cs="Times New Roman"/>
          <w:i/>
          <w:iCs/>
          <w:sz w:val="20"/>
          <w:szCs w:val="20"/>
        </w:rPr>
        <w:t>scoring</w:t>
      </w:r>
      <w:r>
        <w:rPr>
          <w:rFonts w:ascii="Times New Roman" w:eastAsia="Times New Roman" w:hAnsi="Times New Roman" w:cs="Times New Roman"/>
          <w:sz w:val="20"/>
          <w:szCs w:val="20"/>
        </w:rPr>
        <w:t xml:space="preserve"> kuantitatif dengan data logistik nyata, memberikan bukti empiris (</w:t>
      </w:r>
      <w:r>
        <w:rPr>
          <w:rFonts w:ascii="Times New Roman" w:eastAsia="Times New Roman" w:hAnsi="Times New Roman" w:cs="Times New Roman"/>
          <w:i/>
          <w:iCs/>
          <w:sz w:val="20"/>
          <w:szCs w:val="20"/>
        </w:rPr>
        <w:t>evidence-based</w:t>
      </w:r>
      <w:r>
        <w:rPr>
          <w:rFonts w:ascii="Times New Roman" w:eastAsia="Times New Roman" w:hAnsi="Times New Roman" w:cs="Times New Roman"/>
          <w:sz w:val="20"/>
          <w:szCs w:val="20"/>
        </w:rPr>
        <w:t>) bagi pembuat kebijakan untuk merevisi standar pengadaan barang dan jasa pemerintah agar lebih ramah lingkungan.</w:t>
      </w:r>
    </w:p>
    <w:p w14:paraId="457310C6" w14:textId="77777777" w:rsidR="00DD4768" w:rsidRDefault="00000000">
      <w:pPr>
        <w:numPr>
          <w:ilvl w:val="0"/>
          <w:numId w:val="7"/>
        </w:numPr>
        <w:pBdr>
          <w:top w:val="nil"/>
          <w:left w:val="nil"/>
          <w:bottom w:val="nil"/>
          <w:right w:val="nil"/>
          <w:between w:val="nil"/>
        </w:pBdr>
        <w:spacing w:before="240" w:after="80" w:line="240" w:lineRule="auto"/>
        <w:ind w:left="289" w:hanging="289"/>
        <w:jc w:val="center"/>
        <w:rPr>
          <w:rFonts w:ascii="Times New Roman" w:eastAsia="Times New Roman" w:hAnsi="Times New Roman" w:cs="Times New Roman"/>
          <w:b/>
          <w:bCs/>
          <w:smallCaps/>
          <w:color w:val="000000"/>
          <w:sz w:val="20"/>
          <w:szCs w:val="20"/>
        </w:rPr>
      </w:pPr>
      <w:r>
        <w:rPr>
          <w:rFonts w:ascii="Times New Roman" w:eastAsia="Times New Roman" w:hAnsi="Times New Roman" w:cs="Times New Roman"/>
          <w:b/>
          <w:bCs/>
          <w:smallCaps/>
          <w:color w:val="000000"/>
          <w:sz w:val="20"/>
          <w:szCs w:val="20"/>
        </w:rPr>
        <w:t>Metodologi Penelitian</w:t>
      </w:r>
    </w:p>
    <w:p w14:paraId="6A574F3F"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Bab ini menjelaskan kerangka kerja yang digunakan, meliputi kerangka kerja konseptual, sumber data, dan prosedur analisis data (</w:t>
      </w:r>
      <w:r>
        <w:rPr>
          <w:rFonts w:ascii="Times New Roman" w:eastAsia="Times New Roman" w:hAnsi="Times New Roman" w:cs="Times New Roman"/>
          <w:i/>
          <w:iCs/>
          <w:sz w:val="20"/>
          <w:szCs w:val="20"/>
        </w:rPr>
        <w:t>Advanced Analytics</w:t>
      </w:r>
      <w:r>
        <w:rPr>
          <w:rFonts w:ascii="Times New Roman" w:eastAsia="Times New Roman" w:hAnsi="Times New Roman" w:cs="Times New Roman"/>
          <w:sz w:val="20"/>
          <w:szCs w:val="20"/>
        </w:rPr>
        <w:t>).</w:t>
      </w:r>
    </w:p>
    <w:p w14:paraId="3288237E"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2.1. Kerangka Kerja Konseptual</w:t>
      </w:r>
    </w:p>
    <w:p w14:paraId="2BC65910" w14:textId="4FFA8579"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lastRenderedPageBreak/>
        <w:t xml:space="preserve">Penelitian ini mengadopsi pendekatan kuantitatif deskriptif dengan metode simulasi. Landasan teori utama yang digunakan adalah </w:t>
      </w:r>
      <w:r>
        <w:rPr>
          <w:rFonts w:ascii="Times New Roman" w:eastAsia="Times New Roman" w:hAnsi="Times New Roman" w:cs="Times New Roman"/>
          <w:i/>
          <w:iCs/>
          <w:sz w:val="20"/>
          <w:szCs w:val="20"/>
        </w:rPr>
        <w:t>Green Supply Chain Management</w:t>
      </w:r>
      <w:r>
        <w:rPr>
          <w:rFonts w:ascii="Times New Roman" w:eastAsia="Times New Roman" w:hAnsi="Times New Roman" w:cs="Times New Roman"/>
          <w:sz w:val="20"/>
          <w:szCs w:val="20"/>
        </w:rPr>
        <w:t xml:space="preserve"> (GSCM), yang didefinisikan sebagai pengintegrasian pemikiran lingkungan ke dalam manajemen rantai pasok, mulai dari desain produk, pencarian material (</w:t>
      </w:r>
      <w:r>
        <w:rPr>
          <w:rFonts w:ascii="Times New Roman" w:eastAsia="Times New Roman" w:hAnsi="Times New Roman" w:cs="Times New Roman"/>
          <w:i/>
          <w:iCs/>
          <w:sz w:val="20"/>
          <w:szCs w:val="20"/>
        </w:rPr>
        <w:t>sourcing</w:t>
      </w:r>
      <w:r>
        <w:rPr>
          <w:rFonts w:ascii="Times New Roman" w:eastAsia="Times New Roman" w:hAnsi="Times New Roman" w:cs="Times New Roman"/>
          <w:sz w:val="20"/>
          <w:szCs w:val="20"/>
        </w:rPr>
        <w:t xml:space="preserve">), hingga pengiriman akhir </w:t>
      </w:r>
      <w:sdt>
        <w:sdtPr>
          <w:rPr>
            <w:rFonts w:ascii="Times New Roman" w:eastAsia="Times New Roman" w:hAnsi="Times New Roman" w:cs="Times New Roman"/>
            <w:color w:val="000000"/>
            <w:sz w:val="20"/>
            <w:szCs w:val="20"/>
          </w:rPr>
          <w:tag w:val="MENDELEY_CITATION_v3_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"/>
          <w:id w:val="-1126239505"/>
          <w:placeholder>
            <w:docPart w:val="DefaultPlaceholder_-1854013440"/>
          </w:placeholder>
        </w:sdtPr>
        <w:sdtContent>
          <w:r w:rsidR="00BB30C9" w:rsidRPr="00BB30C9">
            <w:rPr>
              <w:rFonts w:ascii="Times New Roman" w:eastAsia="Times New Roman" w:hAnsi="Times New Roman" w:cs="Times New Roman"/>
              <w:color w:val="000000"/>
              <w:sz w:val="20"/>
              <w:szCs w:val="20"/>
            </w:rPr>
            <w:t>[8]</w:t>
          </w:r>
        </w:sdtContent>
      </w:sdt>
      <w:r>
        <w:rPr>
          <w:rFonts w:ascii="Times New Roman" w:eastAsia="Times New Roman" w:hAnsi="Times New Roman" w:cs="Times New Roman"/>
          <w:sz w:val="20"/>
          <w:szCs w:val="20"/>
        </w:rPr>
        <w:t xml:space="preserve">. Dalam konteks MBG, fokus GSCM diterapkan pada fase </w:t>
      </w:r>
      <w:r>
        <w:rPr>
          <w:rFonts w:ascii="Times New Roman" w:eastAsia="Times New Roman" w:hAnsi="Times New Roman" w:cs="Times New Roman"/>
          <w:i/>
          <w:iCs/>
          <w:sz w:val="20"/>
          <w:szCs w:val="20"/>
        </w:rPr>
        <w:t>procurement</w:t>
      </w:r>
      <w:r>
        <w:rPr>
          <w:rFonts w:ascii="Times New Roman" w:eastAsia="Times New Roman" w:hAnsi="Times New Roman" w:cs="Times New Roman"/>
          <w:sz w:val="20"/>
          <w:szCs w:val="20"/>
        </w:rPr>
        <w:t xml:space="preserve"> dan </w:t>
      </w:r>
      <w:r>
        <w:rPr>
          <w:rFonts w:ascii="Times New Roman" w:eastAsia="Times New Roman" w:hAnsi="Times New Roman" w:cs="Times New Roman"/>
          <w:i/>
          <w:iCs/>
          <w:sz w:val="20"/>
          <w:szCs w:val="20"/>
        </w:rPr>
        <w:t>logistics</w:t>
      </w:r>
      <w:r>
        <w:rPr>
          <w:rFonts w:ascii="Times New Roman" w:eastAsia="Times New Roman" w:hAnsi="Times New Roman" w:cs="Times New Roman"/>
          <w:sz w:val="20"/>
          <w:szCs w:val="20"/>
        </w:rPr>
        <w:t xml:space="preserve">. Pendekatan ini diperkuat dengan </w:t>
      </w:r>
      <w:r>
        <w:rPr>
          <w:rFonts w:ascii="Times New Roman" w:eastAsia="Times New Roman" w:hAnsi="Times New Roman" w:cs="Times New Roman"/>
          <w:i/>
          <w:iCs/>
          <w:sz w:val="20"/>
          <w:szCs w:val="20"/>
        </w:rPr>
        <w:t>Data-Driven Decision Making</w:t>
      </w:r>
      <w:r>
        <w:rPr>
          <w:rFonts w:ascii="Times New Roman" w:eastAsia="Times New Roman" w:hAnsi="Times New Roman" w:cs="Times New Roman"/>
          <w:sz w:val="20"/>
          <w:szCs w:val="20"/>
        </w:rPr>
        <w:t xml:space="preserve">, di mana keputusan strategis didasarkan pada analisis data objektif, bukan intuisi semata </w:t>
      </w:r>
      <w:sdt>
        <w:sdtPr>
          <w:rPr>
            <w:rFonts w:ascii="Times New Roman" w:eastAsia="Times New Roman" w:hAnsi="Times New Roman" w:cs="Times New Roman"/>
            <w:color w:val="000000"/>
            <w:sz w:val="20"/>
            <w:szCs w:val="20"/>
          </w:rPr>
          <w:tag w:val="MENDELEY_CITATION_v3_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"/>
          <w:id w:val="783624122"/>
          <w:placeholder>
            <w:docPart w:val="DefaultPlaceholder_-1854013440"/>
          </w:placeholder>
        </w:sdtPr>
        <w:sdtContent>
          <w:r w:rsidR="00BB30C9" w:rsidRPr="00BB30C9">
            <w:rPr>
              <w:rFonts w:ascii="Times New Roman" w:eastAsia="Times New Roman" w:hAnsi="Times New Roman" w:cs="Times New Roman"/>
              <w:color w:val="000000"/>
              <w:sz w:val="20"/>
              <w:szCs w:val="20"/>
            </w:rPr>
            <w:t>[9]</w:t>
          </w:r>
        </w:sdtContent>
      </w:sdt>
      <w:r>
        <w:rPr>
          <w:rFonts w:ascii="Times New Roman" w:eastAsia="Times New Roman" w:hAnsi="Times New Roman" w:cs="Times New Roman"/>
          <w:sz w:val="20"/>
          <w:szCs w:val="20"/>
        </w:rPr>
        <w:t>.</w:t>
      </w:r>
    </w:p>
    <w:p w14:paraId="73538ECE"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2.2. Sumber dan Akuisisi Data</w:t>
      </w:r>
    </w:p>
    <w:p w14:paraId="679A666D"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Penelitian ini memanfaatkan dua kategori data utama untuk membangun model simulasi yang akurat:</w:t>
      </w:r>
    </w:p>
    <w:p w14:paraId="29584B86" w14:textId="097FE5EE" w:rsidR="00DD4768" w:rsidRDefault="00000000">
      <w:pPr>
        <w:numPr>
          <w:ilvl w:val="0"/>
          <w:numId w:val="1"/>
        </w:numPr>
        <w:spacing w:before="60"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Sekunder (Regulasi &amp; Standar): Data ini diambil dari dokumen resmi pemerintah, terutama </w:t>
      </w:r>
      <w:r>
        <w:rPr>
          <w:rFonts w:ascii="Times New Roman" w:eastAsia="Times New Roman" w:hAnsi="Times New Roman" w:cs="Times New Roman"/>
          <w:i/>
          <w:iCs/>
          <w:sz w:val="20"/>
          <w:szCs w:val="20"/>
        </w:rPr>
        <w:t>Buku Pedoman Standar Gizi Program Makan Bergizi Gratis (2024)</w:t>
      </w:r>
      <w:r>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NjRhMTZkOGQtYTM4ZC00MjZlLWI5ZjItN2I5ZGMwNzBhZmFk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
          <w:id w:val="2112241747"/>
          <w:placeholder>
            <w:docPart w:val="DefaultPlaceholder_-1854013440"/>
          </w:placeholder>
        </w:sdtPr>
        <w:sdtContent>
          <w:r w:rsidR="00BB30C9" w:rsidRPr="00BB30C9">
            <w:rPr>
              <w:rFonts w:ascii="Times New Roman" w:eastAsia="Times New Roman" w:hAnsi="Times New Roman" w:cs="Times New Roman"/>
              <w:color w:val="000000"/>
              <w:sz w:val="20"/>
              <w:szCs w:val="20"/>
            </w:rPr>
            <w:t>[1]</w:t>
          </w:r>
        </w:sdtContent>
      </w:sdt>
      <w:r>
        <w:rPr>
          <w:rFonts w:ascii="Times New Roman" w:eastAsia="Times New Roman" w:hAnsi="Times New Roman" w:cs="Times New Roman"/>
          <w:sz w:val="20"/>
          <w:szCs w:val="20"/>
        </w:rPr>
        <w:t>. Informasi yang diekstraksi meliputi standar porsi, spesifikasi mutu bahan pangan (SNI), dan protokol keamanan pangan. Data ini berfungsi sebagai batasan kualitas (</w:t>
      </w:r>
      <w:r>
        <w:rPr>
          <w:rFonts w:ascii="Times New Roman" w:eastAsia="Times New Roman" w:hAnsi="Times New Roman" w:cs="Times New Roman"/>
          <w:i/>
          <w:iCs/>
          <w:sz w:val="20"/>
          <w:szCs w:val="20"/>
        </w:rPr>
        <w:t>quality constraints</w:t>
      </w:r>
      <w:r>
        <w:rPr>
          <w:rFonts w:ascii="Times New Roman" w:eastAsia="Times New Roman" w:hAnsi="Times New Roman" w:cs="Times New Roman"/>
          <w:sz w:val="20"/>
          <w:szCs w:val="20"/>
        </w:rPr>
        <w:t xml:space="preserve">) dalam model, memastikan bahwa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terpilih tidak hanya efisien tetapi juga patuh regulasi.</w:t>
      </w:r>
    </w:p>
    <w:p w14:paraId="3B562B0C" w14:textId="77777777" w:rsidR="00DD4768" w:rsidRDefault="00000000">
      <w:pPr>
        <w:numPr>
          <w:ilvl w:val="0"/>
          <w:numId w:val="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Operasional (Dataset Logistik): Penelitian ini menggunakan dataset sekunder berupa rekaman transaksi pengiriman logistik untuk komoditas Beras dan Kedelai. Dataset ini mencakup variabel krusial:</w:t>
      </w:r>
    </w:p>
    <w:p w14:paraId="73BE3D41" w14:textId="77777777" w:rsidR="00DD4768" w:rsidRDefault="00000000">
      <w:pPr>
        <w:numPr>
          <w:ilvl w:val="1"/>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Titik Asal (</w:t>
      </w:r>
      <w:r>
        <w:rPr>
          <w:rFonts w:ascii="Times New Roman" w:eastAsia="Times New Roman" w:hAnsi="Times New Roman" w:cs="Times New Roman"/>
          <w:i/>
          <w:iCs/>
          <w:sz w:val="20"/>
          <w:szCs w:val="20"/>
        </w:rPr>
        <w:t>Origin</w:t>
      </w:r>
      <w:r>
        <w:rPr>
          <w:rFonts w:ascii="Times New Roman" w:eastAsia="Times New Roman" w:hAnsi="Times New Roman" w:cs="Times New Roman"/>
          <w:sz w:val="20"/>
          <w:szCs w:val="20"/>
        </w:rPr>
        <w:t>): Lokasi gudang atau sentra produksi (Gapoktan/Distributor).</w:t>
      </w:r>
    </w:p>
    <w:p w14:paraId="6440D4E8" w14:textId="77777777" w:rsidR="00DD4768" w:rsidRDefault="00000000">
      <w:pPr>
        <w:numPr>
          <w:ilvl w:val="1"/>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Titik Tujuan (</w:t>
      </w:r>
      <w:r>
        <w:rPr>
          <w:rFonts w:ascii="Times New Roman" w:eastAsia="Times New Roman" w:hAnsi="Times New Roman" w:cs="Times New Roman"/>
          <w:i/>
          <w:iCs/>
          <w:sz w:val="20"/>
          <w:szCs w:val="20"/>
        </w:rPr>
        <w:t>Destination</w:t>
      </w:r>
      <w:r>
        <w:rPr>
          <w:rFonts w:ascii="Times New Roman" w:eastAsia="Times New Roman" w:hAnsi="Times New Roman" w:cs="Times New Roman"/>
          <w:sz w:val="20"/>
          <w:szCs w:val="20"/>
        </w:rPr>
        <w:t>): Lokasi dapur umum atau sekolah penerima.</w:t>
      </w:r>
    </w:p>
    <w:p w14:paraId="2634B082" w14:textId="77777777" w:rsidR="00DD4768" w:rsidRDefault="00000000">
      <w:pPr>
        <w:numPr>
          <w:ilvl w:val="1"/>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Jarak Tempuh (</w:t>
      </w:r>
      <m:oMath>
        <m:r>
          <w:rPr>
            <w:rFonts w:ascii="Times New Roman" w:eastAsia="Times New Roman" w:hAnsi="Times New Roman" w:cs="Times New Roman"/>
            <w:sz w:val="20"/>
            <w:szCs w:val="20"/>
          </w:rPr>
          <m:t>d</m:t>
        </m:r>
      </m:oMath>
      <w:r>
        <w:rPr>
          <w:rFonts w:ascii="Times New Roman" w:eastAsia="Times New Roman" w:hAnsi="Times New Roman" w:cs="Times New Roman"/>
          <w:sz w:val="20"/>
          <w:szCs w:val="20"/>
        </w:rPr>
        <w:t>): Jarak aktual jalan raya dalam satuan kilometer (KM).</w:t>
      </w:r>
    </w:p>
    <w:p w14:paraId="4E64381A" w14:textId="77777777" w:rsidR="00DD4768" w:rsidRDefault="00000000">
      <w:pPr>
        <w:numPr>
          <w:ilvl w:val="1"/>
          <w:numId w:val="1"/>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Pengiriman (</w:t>
      </w:r>
      <m:oMath>
        <m:r>
          <w:rPr>
            <w:rFonts w:ascii="Times New Roman" w:eastAsia="Times New Roman" w:hAnsi="Times New Roman" w:cs="Times New Roman"/>
            <w:sz w:val="20"/>
            <w:szCs w:val="20"/>
          </w:rPr>
          <m:t>v</m:t>
        </m:r>
      </m:oMath>
      <w:r>
        <w:rPr>
          <w:rFonts w:ascii="Times New Roman" w:eastAsia="Times New Roman" w:hAnsi="Times New Roman" w:cs="Times New Roman"/>
          <w:sz w:val="20"/>
          <w:szCs w:val="20"/>
        </w:rPr>
        <w:t>): Berat kotor komoditas dalam satuan kilogram (kg) atau ton.</w:t>
      </w:r>
    </w:p>
    <w:p w14:paraId="75C92538"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2.3. </w:t>
      </w:r>
      <w:r>
        <w:rPr>
          <w:rFonts w:ascii="Times New Roman" w:eastAsia="Times New Roman" w:hAnsi="Times New Roman" w:cs="Times New Roman"/>
          <w:i/>
          <w:iCs/>
          <w:sz w:val="20"/>
          <w:szCs w:val="20"/>
        </w:rPr>
        <w:t>Prosedur Analisis Data (Advanced Analytics)</w:t>
      </w:r>
    </w:p>
    <w:p w14:paraId="40A5C523"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Proses analisis dilakukan menggunakan bahasa pemrograman Python untuk menangani komputasi data dalam jumlah besar. Tahapan analisis terdiri dari:</w:t>
      </w:r>
    </w:p>
    <w:p w14:paraId="3288A9DB" w14:textId="77777777" w:rsidR="00DD4768" w:rsidRDefault="00000000">
      <w:pPr>
        <w:numPr>
          <w:ilvl w:val="0"/>
          <w:numId w:val="4"/>
        </w:numPr>
        <w:pBdr>
          <w:top w:val="nil"/>
          <w:left w:val="nil"/>
          <w:bottom w:val="nil"/>
          <w:right w:val="nil"/>
          <w:between w:val="nil"/>
        </w:pBdr>
        <w:spacing w:before="200"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Perhitungan Jejak Karbon (Carbon Footprint Calculation)</w:t>
      </w:r>
    </w:p>
    <w:p w14:paraId="3FE8FDBE" w14:textId="500BCE46" w:rsidR="00DD4768" w:rsidRDefault="00000000">
      <w:pPr>
        <w:pBdr>
          <w:top w:val="nil"/>
          <w:left w:val="nil"/>
          <w:bottom w:val="nil"/>
          <w:right w:val="nil"/>
          <w:between w:val="nil"/>
        </w:pBdr>
        <w:spacing w:before="60"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Langkah pertama adalah menguantifikasi dampak lingkungan. Penelitian ini menggunakan standar </w:t>
      </w:r>
      <w:r>
        <w:rPr>
          <w:rFonts w:ascii="Times New Roman" w:eastAsia="Times New Roman" w:hAnsi="Times New Roman" w:cs="Times New Roman"/>
          <w:i/>
          <w:iCs/>
          <w:sz w:val="20"/>
          <w:szCs w:val="20"/>
        </w:rPr>
        <w:t>GHG Protocol Corporate Value Chain</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Scope 3</w:t>
      </w:r>
      <w:r>
        <w:rPr>
          <w:rFonts w:ascii="Times New Roman" w:eastAsia="Times New Roman" w:hAnsi="Times New Roman" w:cs="Times New Roman"/>
          <w:sz w:val="20"/>
          <w:szCs w:val="20"/>
        </w:rPr>
        <w:t xml:space="preserve">), yang mencakup emisi tidak langsung dari aktivitas transportasi </w:t>
      </w:r>
      <w:sdt>
        <w:sdtPr>
          <w:rPr>
            <w:rFonts w:ascii="Times New Roman" w:eastAsia="Times New Roman" w:hAnsi="Times New Roman" w:cs="Times New Roman"/>
            <w:color w:val="000000"/>
            <w:sz w:val="20"/>
            <w:szCs w:val="20"/>
          </w:rPr>
          <w:tag w:val="MENDELEY_CITATION_v3_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"/>
          <w:id w:val="775371229"/>
          <w:placeholder>
            <w:docPart w:val="DefaultPlaceholder_-1854013440"/>
          </w:placeholder>
        </w:sdtPr>
        <w:sdtContent>
          <w:r w:rsidR="00BB30C9" w:rsidRPr="00BB30C9">
            <w:rPr>
              <w:rFonts w:ascii="Times New Roman" w:eastAsia="Times New Roman" w:hAnsi="Times New Roman" w:cs="Times New Roman"/>
              <w:color w:val="000000"/>
              <w:sz w:val="20"/>
              <w:szCs w:val="20"/>
            </w:rPr>
            <w:t>[10]</w:t>
          </w:r>
        </w:sdtContent>
      </w:sdt>
      <w:r>
        <w:rPr>
          <w:rFonts w:ascii="Times New Roman" w:eastAsia="Times New Roman" w:hAnsi="Times New Roman" w:cs="Times New Roman"/>
          <w:sz w:val="20"/>
          <w:szCs w:val="20"/>
        </w:rPr>
        <w:t xml:space="preserve">. Rumus matematis yang digunakan untuk menghitung total emisi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E</m:t>
            </m:r>
          </m:e>
          <m:sub>
            <m:r>
              <w:rPr>
                <w:rFonts w:ascii="Times New Roman" w:eastAsia="Times New Roman" w:hAnsi="Times New Roman" w:cs="Times New Roman"/>
                <w:sz w:val="20"/>
                <w:szCs w:val="20"/>
              </w:rPr>
              <m:t>total</m:t>
            </m:r>
          </m:sub>
        </m:sSub>
      </m:oMath>
      <w:r>
        <w:rPr>
          <w:rFonts w:ascii="Times New Roman" w:eastAsia="Times New Roman" w:hAnsi="Times New Roman" w:cs="Times New Roman"/>
          <w:sz w:val="20"/>
          <w:szCs w:val="20"/>
        </w:rPr>
        <w:t>adalah:</w:t>
      </w:r>
    </w:p>
    <w:p w14:paraId="685B2AED" w14:textId="0998170B" w:rsidR="00DD4768" w:rsidRDefault="00000000" w:rsidP="00896D65">
      <w:pPr>
        <w:spacing w:before="120" w:after="0"/>
        <w:jc w:val="center"/>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E</m:t>
            </m:r>
          </m:e>
          <m:sub>
            <m:r>
              <w:rPr>
                <w:rFonts w:ascii="Times New Roman" w:eastAsia="Times New Roman" w:hAnsi="Times New Roman" w:cs="Times New Roman"/>
                <w:sz w:val="20"/>
                <w:szCs w:val="20"/>
              </w:rPr>
              <m:t>total</m:t>
            </m:r>
          </m:sub>
        </m:sSub>
        <m:r>
          <w:rPr>
            <w:rFonts w:ascii="Times New Roman" w:eastAsia="Times New Roman" w:hAnsi="Times New Roman" w:cs="Times New Roman"/>
            <w:sz w:val="20"/>
            <w:szCs w:val="20"/>
          </w:rPr>
          <m:t xml:space="preserve"> = </m:t>
        </m:r>
        <m:nary>
          <m:naryPr>
            <m:chr m:val="∑"/>
            <m:ctrlPr>
              <w:rPr>
                <w:rFonts w:ascii="Times New Roman" w:eastAsia="Times New Roman" w:hAnsi="Times New Roman" w:cs="Times New Roman"/>
                <w:sz w:val="20"/>
                <w:szCs w:val="20"/>
              </w:rPr>
            </m:ctrlPr>
          </m:naryPr>
          <m:sub>
            <m:r>
              <w:rPr>
                <w:rFonts w:ascii="Times New Roman" w:eastAsia="Times New Roman" w:hAnsi="Times New Roman" w:cs="Times New Roman"/>
                <w:sz w:val="20"/>
                <w:szCs w:val="20"/>
              </w:rPr>
              <m:t>i=1</m:t>
            </m:r>
          </m:sub>
          <m:sup>
            <m:r>
              <w:rPr>
                <w:rFonts w:ascii="Times New Roman" w:eastAsia="Times New Roman" w:hAnsi="Times New Roman" w:cs="Times New Roman"/>
                <w:sz w:val="20"/>
                <w:szCs w:val="20"/>
              </w:rPr>
              <m:t>n</m:t>
            </m:r>
          </m:sup>
          <m:e>
            <m:r>
              <w:rPr>
                <w:rFonts w:ascii="Times New Roman" w:eastAsia="Times New Roman" w:hAnsi="Times New Roman" w:cs="Times New Roman"/>
                <w:sz w:val="20"/>
                <w:szCs w:val="20"/>
              </w:rPr>
              <m:t>(</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V</m:t>
                </m:r>
              </m:e>
              <m:sub>
                <m:r>
                  <w:rPr>
                    <w:rFonts w:ascii="Times New Roman" w:eastAsia="Times New Roman" w:hAnsi="Times New Roman" w:cs="Times New Roman"/>
                    <w:sz w:val="20"/>
                    <w:szCs w:val="20"/>
                  </w:rPr>
                  <m:t>i</m:t>
                </m:r>
              </m:sub>
            </m:sSub>
            <m:r>
              <w:rPr>
                <w:rFonts w:ascii="Times New Roman" w:eastAsia="Times New Roman" w:hAnsi="Times New Roman" w:cs="Times New Roman"/>
                <w:sz w:val="20"/>
                <w:szCs w:val="20"/>
              </w:rPr>
              <m:t xml:space="preserve"> x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d</m:t>
                </m:r>
              </m:e>
              <m:sub>
                <m:r>
                  <w:rPr>
                    <w:rFonts w:ascii="Times New Roman" w:eastAsia="Times New Roman" w:hAnsi="Times New Roman" w:cs="Times New Roman"/>
                    <w:sz w:val="20"/>
                    <w:szCs w:val="20"/>
                  </w:rPr>
                  <m:t>i</m:t>
                </m:r>
              </m:sub>
            </m:sSub>
            <m:r>
              <w:rPr>
                <w:rFonts w:ascii="Times New Roman" w:eastAsia="Times New Roman" w:hAnsi="Times New Roman" w:cs="Times New Roman"/>
                <w:sz w:val="20"/>
                <w:szCs w:val="20"/>
              </w:rPr>
              <m:t xml:space="preserve"> x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emisi</m:t>
                </m:r>
              </m:sub>
            </m:sSub>
            <m:r>
              <w:rPr>
                <w:rFonts w:ascii="Times New Roman" w:eastAsia="Times New Roman" w:hAnsi="Times New Roman" w:cs="Times New Roman"/>
                <w:sz w:val="20"/>
                <w:szCs w:val="20"/>
              </w:rPr>
              <m:t>)</m:t>
            </m:r>
          </m:e>
        </m:nary>
      </m:oMath>
      <w:r>
        <w:rPr>
          <w:rFonts w:ascii="Times New Roman" w:eastAsia="Times New Roman" w:hAnsi="Times New Roman" w:cs="Times New Roman"/>
          <w:i/>
          <w:iCs/>
          <w:sz w:val="20"/>
          <w:szCs w:val="20"/>
        </w:rPr>
        <w:tab/>
        <w:t xml:space="preserve">                </w:t>
      </w:r>
      <w:r>
        <w:rPr>
          <w:rFonts w:ascii="Times New Roman" w:eastAsia="Times New Roman" w:hAnsi="Times New Roman" w:cs="Times New Roman"/>
          <w:sz w:val="20"/>
          <w:szCs w:val="20"/>
        </w:rPr>
        <w:t>(1)</w:t>
      </w:r>
    </w:p>
    <w:p w14:paraId="0C8ABC30"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Dimana:</w:t>
      </w:r>
    </w:p>
    <w:p w14:paraId="41623B1B" w14:textId="77777777" w:rsidR="00DD4768" w:rsidRDefault="00000000">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V</m:t>
            </m:r>
          </m:e>
          <m:sub>
            <m:r>
              <w:rPr>
                <w:rFonts w:ascii="Times New Roman" w:eastAsia="Times New Roman" w:hAnsi="Times New Roman" w:cs="Times New Roman"/>
                <w:sz w:val="20"/>
                <w:szCs w:val="20"/>
              </w:rPr>
              <m:t>i</m:t>
            </m:r>
          </m:sub>
        </m:sSub>
      </m:oMath>
      <w:r>
        <w:rPr>
          <w:rFonts w:ascii="Times New Roman" w:eastAsia="Times New Roman" w:hAnsi="Times New Roman" w:cs="Times New Roman"/>
          <w:sz w:val="20"/>
          <w:szCs w:val="20"/>
        </w:rPr>
        <w:tab/>
        <w:t>: Volume muatan dalam ton pada transaksi ke-</w:t>
      </w:r>
      <m:oMath>
        <m:r>
          <w:rPr>
            <w:rFonts w:ascii="Times New Roman" w:eastAsia="Times New Roman" w:hAnsi="Times New Roman" w:cs="Times New Roman"/>
            <w:sz w:val="20"/>
            <w:szCs w:val="20"/>
          </w:rPr>
          <m:t>i</m:t>
        </m:r>
      </m:oMath>
      <w:r>
        <w:rPr>
          <w:rFonts w:ascii="Times New Roman" w:eastAsia="Times New Roman" w:hAnsi="Times New Roman" w:cs="Times New Roman"/>
          <w:sz w:val="20"/>
          <w:szCs w:val="20"/>
        </w:rPr>
        <w:t>.</w:t>
      </w:r>
    </w:p>
    <w:p w14:paraId="70824117" w14:textId="77777777" w:rsidR="00DD4768" w:rsidRDefault="00000000">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d</m:t>
            </m:r>
          </m:e>
          <m:sub>
            <m:r>
              <w:rPr>
                <w:rFonts w:ascii="Times New Roman" w:eastAsia="Times New Roman" w:hAnsi="Times New Roman" w:cs="Times New Roman"/>
                <w:sz w:val="20"/>
                <w:szCs w:val="20"/>
              </w:rPr>
              <m:t>i</m:t>
            </m:r>
          </m:sub>
        </m:sSub>
      </m:oMath>
      <w:r>
        <w:rPr>
          <w:rFonts w:ascii="Times New Roman" w:eastAsia="Times New Roman" w:hAnsi="Times New Roman" w:cs="Times New Roman"/>
          <w:sz w:val="20"/>
          <w:szCs w:val="20"/>
        </w:rPr>
        <w:tab/>
        <w:t>: Jarak tempuh dalam km pada transaksi ke-</w:t>
      </w:r>
      <m:oMath>
        <m:r>
          <w:rPr>
            <w:rFonts w:ascii="Times New Roman" w:eastAsia="Times New Roman" w:hAnsi="Times New Roman" w:cs="Times New Roman"/>
            <w:sz w:val="20"/>
            <w:szCs w:val="20"/>
          </w:rPr>
          <m:t>i</m:t>
        </m:r>
      </m:oMath>
      <w:r>
        <w:rPr>
          <w:rFonts w:ascii="Times New Roman" w:eastAsia="Times New Roman" w:hAnsi="Times New Roman" w:cs="Times New Roman"/>
          <w:sz w:val="20"/>
          <w:szCs w:val="20"/>
        </w:rPr>
        <w:t>.</w:t>
      </w:r>
    </w:p>
    <w:p w14:paraId="5007F7BB" w14:textId="7E5C39C1" w:rsidR="00DD4768" w:rsidRDefault="00000000">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emisi</m:t>
            </m:r>
          </m:sub>
        </m:sSub>
      </m:oMath>
      <w:r>
        <w:rPr>
          <w:rFonts w:ascii="Times New Roman" w:eastAsia="Times New Roman" w:hAnsi="Times New Roman" w:cs="Times New Roman"/>
          <w:sz w:val="20"/>
          <w:szCs w:val="20"/>
        </w:rPr>
        <w:tab/>
        <w:t xml:space="preserve">: Faktor emisi kendaraan. Dalam studi ini, diasumsikan menggunakan truk diesel Light Commercial Vehicle dengan faktor emisi rata-rata 0,2 kg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/ton-km, mengacu pada standar logistik di negara berkembang </w:t>
      </w:r>
      <w:sdt>
        <w:sdtPr>
          <w:rPr>
            <w:rFonts w:ascii="Times New Roman" w:eastAsia="Times New Roman" w:hAnsi="Times New Roman" w:cs="Times New Roman"/>
            <w:color w:val="000000"/>
            <w:sz w:val="20"/>
            <w:szCs w:val="20"/>
          </w:rPr>
          <w:tag w:val="MENDELEY_CITATION_v3_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"/>
          <w:id w:val="-1471358913"/>
          <w:placeholder>
            <w:docPart w:val="DefaultPlaceholder_-1854013440"/>
          </w:placeholder>
        </w:sdtPr>
        <w:sdtContent>
          <w:r w:rsidR="00BB30C9" w:rsidRPr="00BB30C9">
            <w:rPr>
              <w:rFonts w:ascii="Times New Roman" w:eastAsia="Times New Roman" w:hAnsi="Times New Roman" w:cs="Times New Roman"/>
              <w:color w:val="000000"/>
              <w:sz w:val="20"/>
              <w:szCs w:val="20"/>
            </w:rPr>
            <w:t>[9]</w:t>
          </w:r>
        </w:sdtContent>
      </w:sdt>
      <w:r>
        <w:rPr>
          <w:rFonts w:ascii="Times New Roman" w:eastAsia="Times New Roman" w:hAnsi="Times New Roman" w:cs="Times New Roman"/>
          <w:sz w:val="20"/>
          <w:szCs w:val="20"/>
        </w:rPr>
        <w:t>.</w:t>
      </w:r>
    </w:p>
    <w:p w14:paraId="5CB79BD2" w14:textId="77777777" w:rsidR="00DD4768" w:rsidRDefault="00000000">
      <w:pPr>
        <w:numPr>
          <w:ilvl w:val="0"/>
          <w:numId w:val="4"/>
        </w:numPr>
        <w:pBdr>
          <w:top w:val="nil"/>
          <w:left w:val="nil"/>
          <w:bottom w:val="nil"/>
          <w:right w:val="nil"/>
          <w:between w:val="nil"/>
        </w:pBdr>
        <w:spacing w:before="200"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Pengembangan Model Penilaian (Weighted Scoring Model)</w:t>
      </w:r>
    </w:p>
    <w:p w14:paraId="0AE1ADCB" w14:textId="4C54CF01" w:rsidR="00DD4768" w:rsidRDefault="00000000">
      <w:pPr>
        <w:pBdr>
          <w:top w:val="nil"/>
          <w:left w:val="nil"/>
          <w:bottom w:val="nil"/>
          <w:right w:val="nil"/>
          <w:between w:val="nil"/>
        </w:pBdr>
        <w:spacing w:before="60"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Langkah kedua adalah membangun algoritma untuk memberikan skor kinerja kepada setiap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atau rute pengiriman. Model ini menggunakan prinsip </w:t>
      </w:r>
      <w:r>
        <w:rPr>
          <w:rFonts w:ascii="Times New Roman" w:eastAsia="Times New Roman" w:hAnsi="Times New Roman" w:cs="Times New Roman"/>
          <w:i/>
          <w:iCs/>
          <w:sz w:val="20"/>
          <w:szCs w:val="20"/>
        </w:rPr>
        <w:t>Multi-Criteria Decision Making</w:t>
      </w:r>
      <w:r>
        <w:rPr>
          <w:rFonts w:ascii="Times New Roman" w:eastAsia="Times New Roman" w:hAnsi="Times New Roman" w:cs="Times New Roman"/>
          <w:sz w:val="20"/>
          <w:szCs w:val="20"/>
        </w:rPr>
        <w:t xml:space="preserve"> (MCDM) sederhana </w:t>
      </w:r>
      <w:sdt>
        <w:sdtPr>
          <w:rPr>
            <w:rFonts w:ascii="Times New Roman" w:eastAsia="Times New Roman" w:hAnsi="Times New Roman" w:cs="Times New Roman"/>
            <w:color w:val="000000"/>
            <w:sz w:val="20"/>
            <w:szCs w:val="20"/>
          </w:rPr>
          <w:tag w:val="MENDELEY_CITATION_v3_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"/>
          <w:id w:val="450978823"/>
          <w:placeholder>
            <w:docPart w:val="DefaultPlaceholder_-1854013440"/>
          </w:placeholder>
        </w:sdtPr>
        <w:sdtContent>
          <w:r w:rsidR="00BB30C9" w:rsidRPr="00BB30C9">
            <w:rPr>
              <w:rFonts w:ascii="Times New Roman" w:eastAsia="Times New Roman" w:hAnsi="Times New Roman" w:cs="Times New Roman"/>
              <w:color w:val="000000"/>
              <w:sz w:val="20"/>
              <w:szCs w:val="20"/>
            </w:rPr>
            <w:t>[11]</w:t>
          </w:r>
        </w:sdtContent>
      </w:sdt>
      <w:r>
        <w:rPr>
          <w:rFonts w:ascii="Times New Roman" w:eastAsia="Times New Roman" w:hAnsi="Times New Roman" w:cs="Times New Roman"/>
          <w:sz w:val="20"/>
          <w:szCs w:val="20"/>
        </w:rPr>
        <w:t xml:space="preserve">. Sebelum pembobotan, dilakukan normalisasi data menggunakan teknik </w:t>
      </w:r>
      <w:r>
        <w:rPr>
          <w:rFonts w:ascii="Times New Roman" w:eastAsia="Times New Roman" w:hAnsi="Times New Roman" w:cs="Times New Roman"/>
          <w:i/>
          <w:iCs/>
          <w:sz w:val="20"/>
          <w:szCs w:val="20"/>
        </w:rPr>
        <w:t>Min-Max Scaling</w:t>
      </w:r>
      <w:r>
        <w:rPr>
          <w:rFonts w:ascii="Times New Roman" w:eastAsia="Times New Roman" w:hAnsi="Times New Roman" w:cs="Times New Roman"/>
          <w:sz w:val="20"/>
          <w:szCs w:val="20"/>
        </w:rPr>
        <w:t xml:space="preserve"> untuk menyamakan skala satuan (km, kg, kg</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menjadi rentang 0 hingga 1. Rumus Skor Keberlanjutan (</w:t>
      </w:r>
      <m:oMath>
        <m:r>
          <w:rPr>
            <w:rFonts w:ascii="Times New Roman" w:eastAsia="Times New Roman" w:hAnsi="Times New Roman" w:cs="Times New Roman"/>
            <w:sz w:val="20"/>
            <w:szCs w:val="20"/>
          </w:rPr>
          <m:t>S</m:t>
        </m:r>
      </m:oMath>
      <w:r>
        <w:rPr>
          <w:rFonts w:ascii="Times New Roman" w:eastAsia="Times New Roman" w:hAnsi="Times New Roman" w:cs="Times New Roman"/>
          <w:sz w:val="20"/>
          <w:szCs w:val="20"/>
        </w:rPr>
        <w:t>) diformulasikan sebagai berikut:</w:t>
      </w:r>
    </w:p>
    <w:p w14:paraId="0ED50ACF" w14:textId="77777777" w:rsidR="00DD4768" w:rsidRDefault="00000000">
      <w:pPr>
        <w:spacing w:after="0"/>
        <w:jc w:val="center"/>
        <w:rPr>
          <w:rFonts w:ascii="Times New Roman" w:eastAsia="Times New Roman" w:hAnsi="Times New Roman" w:cs="Times New Roman"/>
          <w:sz w:val="20"/>
          <w:szCs w:val="20"/>
        </w:rPr>
      </w:pPr>
      <m:oMath>
        <m:r>
          <w:rPr>
            <w:rFonts w:ascii="Times New Roman" w:eastAsia="Times New Roman" w:hAnsi="Times New Roman" w:cs="Times New Roman"/>
            <w:sz w:val="20"/>
            <w:szCs w:val="20"/>
          </w:rPr>
          <m:t>S =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1</m:t>
            </m:r>
          </m:sub>
        </m:sSub>
        <m:r>
          <w:rPr>
            <w:rFonts w:ascii="Times New Roman" w:eastAsia="Times New Roman" w:hAnsi="Times New Roman" w:cs="Times New Roman"/>
            <w:sz w:val="20"/>
            <w:szCs w:val="20"/>
          </w:rPr>
          <m:t xml:space="preserve"> x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d</m:t>
            </m:r>
          </m:sub>
        </m:sSub>
        <m:r>
          <w:rPr>
            <w:rFonts w:ascii="Times New Roman" w:eastAsia="Times New Roman" w:hAnsi="Times New Roman" w:cs="Times New Roman"/>
            <w:sz w:val="20"/>
            <w:szCs w:val="20"/>
          </w:rPr>
          <m:t>) +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2</m:t>
            </m:r>
          </m:sub>
        </m:sSub>
        <m:r>
          <w:rPr>
            <w:rFonts w:ascii="Times New Roman" w:eastAsia="Times New Roman" w:hAnsi="Times New Roman" w:cs="Times New Roman"/>
            <w:sz w:val="20"/>
            <w:szCs w:val="20"/>
          </w:rPr>
          <m:t xml:space="preserve"> x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e</m:t>
            </m:r>
          </m:sub>
        </m:sSub>
        <m:r>
          <w:rPr>
            <w:rFonts w:ascii="Times New Roman" w:eastAsia="Times New Roman" w:hAnsi="Times New Roman" w:cs="Times New Roman"/>
            <w:sz w:val="20"/>
            <w:szCs w:val="20"/>
          </w:rPr>
          <m:t>)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3</m:t>
            </m:r>
          </m:sub>
        </m:sSub>
        <m:r>
          <w:rPr>
            <w:rFonts w:ascii="Times New Roman" w:eastAsia="Times New Roman" w:hAnsi="Times New Roman" w:cs="Times New Roman"/>
            <w:sz w:val="20"/>
            <w:szCs w:val="20"/>
          </w:rPr>
          <m:t xml:space="preserve"> x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v</m:t>
            </m:r>
          </m:sub>
        </m:sSub>
        <m:r>
          <w:rPr>
            <w:rFonts w:ascii="Times New Roman" w:eastAsia="Times New Roman" w:hAnsi="Times New Roman" w:cs="Times New Roman"/>
            <w:sz w:val="20"/>
            <w:szCs w:val="20"/>
          </w:rPr>
          <m:t>)</m:t>
        </m:r>
      </m:oMath>
      <w:r>
        <w:rPr>
          <w:rFonts w:ascii="Times New Roman" w:eastAsia="Times New Roman" w:hAnsi="Times New Roman" w:cs="Times New Roman"/>
          <w:i/>
          <w:iCs/>
          <w:sz w:val="20"/>
          <w:szCs w:val="20"/>
        </w:rPr>
        <w:tab/>
        <w:t xml:space="preserve">                </w:t>
      </w:r>
      <w:r>
        <w:rPr>
          <w:rFonts w:ascii="Times New Roman" w:eastAsia="Times New Roman" w:hAnsi="Times New Roman" w:cs="Times New Roman"/>
          <w:sz w:val="20"/>
          <w:szCs w:val="20"/>
        </w:rPr>
        <w:t>(2)</w:t>
      </w:r>
    </w:p>
    <w:p w14:paraId="1E0C544F" w14:textId="77777777" w:rsidR="00DD4768" w:rsidRDefault="00000000">
      <w:pP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Dimana:</w:t>
      </w:r>
    </w:p>
    <w:p w14:paraId="5A0B1B83" w14:textId="77777777" w:rsidR="00DD4768" w:rsidRDefault="00000000">
      <w:pPr>
        <w:numPr>
          <w:ilvl w:val="0"/>
          <w:numId w:val="12"/>
        </w:numP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 xml:space="preserve">d </m:t>
            </m:r>
          </m:sub>
        </m:sSub>
        <m:r>
          <w:rPr>
            <w:rFonts w:ascii="Times New Roman" w:eastAsia="Times New Roman" w:hAnsi="Times New Roman" w:cs="Times New Roman"/>
            <w:sz w:val="20"/>
            <w:szCs w:val="20"/>
          </w:rPr>
          <m:t xml:space="preserve">= (1 -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d</m:t>
            </m:r>
          </m:e>
          <m:sub>
            <m:r>
              <w:rPr>
                <w:rFonts w:ascii="Times New Roman" w:eastAsia="Times New Roman" w:hAnsi="Times New Roman" w:cs="Times New Roman"/>
                <w:sz w:val="20"/>
                <w:szCs w:val="20"/>
              </w:rPr>
              <m:t>norm</m:t>
            </m:r>
          </m:sub>
        </m:sSub>
        <m:r>
          <w:rPr>
            <w:rFonts w:ascii="Times New Roman" w:eastAsia="Times New Roman" w:hAnsi="Times New Roman" w:cs="Times New Roman"/>
            <w:sz w:val="20"/>
            <w:szCs w:val="20"/>
          </w:rPr>
          <m:t xml:space="preserve">) </m:t>
        </m:r>
      </m:oMath>
      <w:r>
        <w:rPr>
          <w:rFonts w:ascii="Times New Roman" w:eastAsia="Times New Roman" w:hAnsi="Times New Roman" w:cs="Times New Roman"/>
          <w:sz w:val="20"/>
          <w:szCs w:val="20"/>
        </w:rPr>
        <w:tab/>
        <w:t>: Skor efisiensi jarak (semakin dekat, nilai mendekati 1).</w:t>
      </w:r>
    </w:p>
    <w:p w14:paraId="772B4EFF" w14:textId="77777777" w:rsidR="00DD4768" w:rsidRDefault="00000000">
      <w:pPr>
        <w:numPr>
          <w:ilvl w:val="0"/>
          <w:numId w:val="12"/>
        </w:numP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 xml:space="preserve">e </m:t>
            </m:r>
          </m:sub>
        </m:sSub>
        <m:r>
          <w:rPr>
            <w:rFonts w:ascii="Times New Roman" w:eastAsia="Times New Roman" w:hAnsi="Times New Roman" w:cs="Times New Roman"/>
            <w:sz w:val="20"/>
            <w:szCs w:val="20"/>
          </w:rPr>
          <m:t xml:space="preserve">= (1 -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E</m:t>
            </m:r>
          </m:e>
          <m:sub>
            <m:r>
              <w:rPr>
                <w:rFonts w:ascii="Times New Roman" w:eastAsia="Times New Roman" w:hAnsi="Times New Roman" w:cs="Times New Roman"/>
                <w:sz w:val="20"/>
                <w:szCs w:val="20"/>
              </w:rPr>
              <m:t>norm</m:t>
            </m:r>
          </m:sub>
        </m:sSub>
        <m:r>
          <w:rPr>
            <w:rFonts w:ascii="Times New Roman" w:eastAsia="Times New Roman" w:hAnsi="Times New Roman" w:cs="Times New Roman"/>
            <w:sz w:val="20"/>
            <w:szCs w:val="20"/>
          </w:rPr>
          <m:t xml:space="preserve">) </m:t>
        </m:r>
      </m:oMath>
      <w:r>
        <w:rPr>
          <w:rFonts w:ascii="Times New Roman" w:eastAsia="Times New Roman" w:hAnsi="Times New Roman" w:cs="Times New Roman"/>
          <w:sz w:val="20"/>
          <w:szCs w:val="20"/>
        </w:rPr>
        <w:tab/>
        <w:t>: Skor efisiensi emisi (semakin rendah emisi, nilai mendekati 1).</w:t>
      </w:r>
    </w:p>
    <w:p w14:paraId="538287BE" w14:textId="77777777" w:rsidR="00DD4768" w:rsidRDefault="00000000">
      <w:pPr>
        <w:numPr>
          <w:ilvl w:val="0"/>
          <w:numId w:val="12"/>
        </w:numPr>
        <w:spacing w:after="0" w:line="240" w:lineRule="auto"/>
        <w:jc w:val="both"/>
        <w:rPr>
          <w:rFonts w:ascii="Times New Roman" w:eastAsia="Times New Roman" w:hAnsi="Times New Roman" w:cs="Times New Roman"/>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N</m:t>
            </m:r>
          </m:e>
          <m:sub>
            <m:r>
              <w:rPr>
                <w:rFonts w:ascii="Times New Roman" w:eastAsia="Times New Roman" w:hAnsi="Times New Roman" w:cs="Times New Roman"/>
                <w:sz w:val="20"/>
                <w:szCs w:val="20"/>
              </w:rPr>
              <m:t xml:space="preserve">v </m:t>
            </m:r>
          </m:sub>
        </m:sSub>
        <m:r>
          <w:rPr>
            <w:rFonts w:ascii="Times New Roman" w:eastAsia="Times New Roman" w:hAnsi="Times New Roman" w:cs="Times New Roman"/>
            <w:sz w:val="20"/>
            <w:szCs w:val="20"/>
          </w:rPr>
          <m:t>= (</m:t>
        </m:r>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v</m:t>
            </m:r>
          </m:e>
          <m:sub>
            <m:r>
              <w:rPr>
                <w:rFonts w:ascii="Times New Roman" w:eastAsia="Times New Roman" w:hAnsi="Times New Roman" w:cs="Times New Roman"/>
                <w:sz w:val="20"/>
                <w:szCs w:val="20"/>
              </w:rPr>
              <m:t>norm</m:t>
            </m:r>
          </m:sub>
        </m:sSub>
        <m:r>
          <w:rPr>
            <w:rFonts w:ascii="Times New Roman" w:eastAsia="Times New Roman" w:hAnsi="Times New Roman" w:cs="Times New Roman"/>
            <w:sz w:val="20"/>
            <w:szCs w:val="20"/>
          </w:rPr>
          <m:t xml:space="preserve">) </m:t>
        </m:r>
      </m:oMath>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Skor keamanan pasokan (semakin besar volume, nilai mendekati 1).</w:t>
      </w:r>
    </w:p>
    <w:p w14:paraId="519E6EA5" w14:textId="77777777" w:rsidR="00DD4768" w:rsidRDefault="00000000">
      <w:pPr>
        <w:numPr>
          <w:ilvl w:val="0"/>
          <w:numId w:val="4"/>
        </w:numPr>
        <w:pBdr>
          <w:top w:val="nil"/>
          <w:left w:val="nil"/>
          <w:bottom w:val="nil"/>
          <w:right w:val="nil"/>
          <w:between w:val="nil"/>
        </w:pBdr>
        <w:spacing w:before="200"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Penentuan Bobot Variabel</w:t>
      </w:r>
    </w:p>
    <w:p w14:paraId="46079BFD" w14:textId="5FA5826A"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Penentuan bobot (</w:t>
      </w:r>
      <m:oMath>
        <m:r>
          <w:rPr>
            <w:rFonts w:ascii="Times New Roman" w:eastAsia="Times New Roman" w:hAnsi="Times New Roman" w:cs="Times New Roman"/>
            <w:sz w:val="20"/>
            <w:szCs w:val="20"/>
          </w:rPr>
          <m:t>w</m:t>
        </m:r>
      </m:oMath>
      <w:r>
        <w:rPr>
          <w:rFonts w:ascii="Times New Roman" w:eastAsia="Times New Roman" w:hAnsi="Times New Roman" w:cs="Times New Roman"/>
          <w:sz w:val="20"/>
          <w:szCs w:val="20"/>
        </w:rPr>
        <w:t xml:space="preserve">) didasarkan pada prioritas strategis program MBG yang disintesis dari literatur manajemen risiko rantai pasok </w:t>
      </w:r>
      <w:sdt>
        <w:sdtPr>
          <w:rPr>
            <w:rFonts w:ascii="Times New Roman" w:eastAsia="Times New Roman" w:hAnsi="Times New Roman" w:cs="Times New Roman"/>
            <w:color w:val="000000"/>
            <w:sz w:val="20"/>
            <w:szCs w:val="20"/>
          </w:rPr>
          <w:tag w:val="MENDELEY_CITATION_v3_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"/>
          <w:id w:val="1039784461"/>
          <w:placeholder>
            <w:docPart w:val="DefaultPlaceholder_-1854013440"/>
          </w:placeholder>
        </w:sdtPr>
        <w:sdtContent>
          <w:r w:rsidR="00BB30C9" w:rsidRPr="00BB30C9">
            <w:rPr>
              <w:rFonts w:ascii="Times New Roman" w:eastAsia="Times New Roman" w:hAnsi="Times New Roman" w:cs="Times New Roman"/>
              <w:color w:val="000000"/>
              <w:sz w:val="20"/>
              <w:szCs w:val="20"/>
            </w:rPr>
            <w:t>[12], [13]</w:t>
          </w:r>
        </w:sdtContent>
      </w:sdt>
      <w:r>
        <w:rPr>
          <w:rFonts w:ascii="Times New Roman" w:eastAsia="Times New Roman" w:hAnsi="Times New Roman" w:cs="Times New Roman"/>
          <w:sz w:val="20"/>
          <w:szCs w:val="20"/>
        </w:rPr>
        <w:t>:</w:t>
      </w:r>
    </w:p>
    <w:p w14:paraId="2CF80FE7" w14:textId="77777777" w:rsidR="00DD4768" w:rsidRDefault="00000000">
      <w:pPr>
        <w:numPr>
          <w:ilvl w:val="0"/>
          <w:numId w:val="2"/>
        </w:numPr>
        <w:spacing w:after="0" w:line="240" w:lineRule="auto"/>
        <w:jc w:val="both"/>
        <w:rPr>
          <w:rFonts w:ascii="Arial" w:eastAsia="Arial" w:hAnsi="Arial" w:cs="Arial"/>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1</m:t>
            </m:r>
          </m:sub>
        </m:sSub>
      </m:oMath>
      <w:r>
        <w:rPr>
          <w:rFonts w:ascii="Times New Roman" w:eastAsia="Times New Roman" w:hAnsi="Times New Roman" w:cs="Times New Roman"/>
          <w:sz w:val="20"/>
          <w:szCs w:val="20"/>
        </w:rPr>
        <w:t xml:space="preserve"> = </w:t>
      </w:r>
      <m:oMath>
        <m:r>
          <w:rPr>
            <w:rFonts w:ascii="Times New Roman" w:eastAsia="Times New Roman" w:hAnsi="Times New Roman" w:cs="Times New Roman"/>
            <w:sz w:val="20"/>
            <w:szCs w:val="20"/>
          </w:rPr>
          <m:t>40%</m:t>
        </m:r>
      </m:oMath>
      <w:r>
        <w:rPr>
          <w:rFonts w:ascii="Times New Roman" w:eastAsia="Times New Roman" w:hAnsi="Times New Roman" w:cs="Times New Roman"/>
          <w:sz w:val="20"/>
          <w:szCs w:val="20"/>
        </w:rPr>
        <w:t xml:space="preserve"> (Efisiensi Logistik/Jarak): Diberikan bobot tertinggi karena jarak berkorelasi langsung dengan kesegaran bahan pangan (</w:t>
      </w:r>
      <w:r>
        <w:rPr>
          <w:rFonts w:ascii="Times New Roman" w:eastAsia="Times New Roman" w:hAnsi="Times New Roman" w:cs="Times New Roman"/>
          <w:i/>
          <w:iCs/>
          <w:sz w:val="20"/>
          <w:szCs w:val="20"/>
        </w:rPr>
        <w:t>perishability</w:t>
      </w:r>
      <w:r>
        <w:rPr>
          <w:rFonts w:ascii="Times New Roman" w:eastAsia="Times New Roman" w:hAnsi="Times New Roman" w:cs="Times New Roman"/>
          <w:sz w:val="20"/>
          <w:szCs w:val="20"/>
        </w:rPr>
        <w:t>) dan biaya transportasi. Jarak pendek adalah kunci utama keamanan pangan.</w:t>
      </w:r>
    </w:p>
    <w:p w14:paraId="4386E656" w14:textId="77777777" w:rsidR="00DD4768" w:rsidRDefault="00000000">
      <w:pPr>
        <w:numPr>
          <w:ilvl w:val="0"/>
          <w:numId w:val="2"/>
        </w:numPr>
        <w:spacing w:after="0" w:line="240" w:lineRule="auto"/>
        <w:jc w:val="both"/>
        <w:rPr>
          <w:rFonts w:ascii="Arial" w:eastAsia="Arial" w:hAnsi="Arial" w:cs="Arial"/>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 </w:t>
      </w:r>
      <m:oMath>
        <m:r>
          <w:rPr>
            <w:rFonts w:ascii="Times New Roman" w:eastAsia="Times New Roman" w:hAnsi="Times New Roman" w:cs="Times New Roman"/>
            <w:sz w:val="20"/>
            <w:szCs w:val="20"/>
          </w:rPr>
          <m:t>30%</m:t>
        </m:r>
      </m:oMath>
      <w:r>
        <w:rPr>
          <w:rFonts w:ascii="Times New Roman" w:eastAsia="Times New Roman" w:hAnsi="Times New Roman" w:cs="Times New Roman"/>
          <w:sz w:val="20"/>
          <w:szCs w:val="20"/>
        </w:rPr>
        <w:t xml:space="preserve"> (Dampak Lingkungan): Mencerminkan komitmen terhadap keberlanjutan. Emisi harus ditekan, namun tidak boleh mengorbankan ketersediaan pangan.</w:t>
      </w:r>
    </w:p>
    <w:p w14:paraId="293F4DC8" w14:textId="77777777" w:rsidR="00DD4768" w:rsidRDefault="00000000">
      <w:pPr>
        <w:numPr>
          <w:ilvl w:val="0"/>
          <w:numId w:val="2"/>
        </w:numPr>
        <w:spacing w:after="0" w:line="240" w:lineRule="auto"/>
        <w:jc w:val="both"/>
        <w:rPr>
          <w:rFonts w:ascii="Arial" w:eastAsia="Arial" w:hAnsi="Arial" w:cs="Arial"/>
          <w:sz w:val="20"/>
          <w:szCs w:val="20"/>
        </w:rPr>
      </w:pP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w</m:t>
            </m:r>
          </m:e>
          <m:sub>
            <m:r>
              <w:rPr>
                <w:rFonts w:ascii="Times New Roman" w:eastAsia="Times New Roman" w:hAnsi="Times New Roman" w:cs="Times New Roman"/>
                <w:sz w:val="20"/>
                <w:szCs w:val="20"/>
              </w:rPr>
              <m:t>3</m:t>
            </m:r>
          </m:sub>
        </m:sSub>
      </m:oMath>
      <w:r>
        <w:rPr>
          <w:rFonts w:ascii="Times New Roman" w:eastAsia="Times New Roman" w:hAnsi="Times New Roman" w:cs="Times New Roman"/>
          <w:sz w:val="20"/>
          <w:szCs w:val="20"/>
        </w:rPr>
        <w:t xml:space="preserve"> = </w:t>
      </w:r>
      <m:oMath>
        <m:r>
          <w:rPr>
            <w:rFonts w:ascii="Times New Roman" w:eastAsia="Times New Roman" w:hAnsi="Times New Roman" w:cs="Times New Roman"/>
            <w:sz w:val="20"/>
            <w:szCs w:val="20"/>
          </w:rPr>
          <m:t>30%</m:t>
        </m:r>
      </m:oMath>
      <w:r>
        <w:rPr>
          <w:rFonts w:ascii="Times New Roman" w:eastAsia="Times New Roman" w:hAnsi="Times New Roman" w:cs="Times New Roman"/>
          <w:sz w:val="20"/>
          <w:szCs w:val="20"/>
        </w:rPr>
        <w:t xml:space="preserve"> (Keamanan Pasokan/Volume): Volume besar menjamin kontinuitas operasional. Dalam program skala nasional,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kecil dengan volume fluktuatif memiliki risiko </w:t>
      </w:r>
      <w:r>
        <w:rPr>
          <w:rFonts w:ascii="Times New Roman" w:eastAsia="Times New Roman" w:hAnsi="Times New Roman" w:cs="Times New Roman"/>
          <w:i/>
          <w:iCs/>
          <w:sz w:val="20"/>
          <w:szCs w:val="20"/>
        </w:rPr>
        <w:t>stock-out</w:t>
      </w:r>
      <w:r>
        <w:rPr>
          <w:rFonts w:ascii="Times New Roman" w:eastAsia="Times New Roman" w:hAnsi="Times New Roman" w:cs="Times New Roman"/>
          <w:sz w:val="20"/>
          <w:szCs w:val="20"/>
        </w:rPr>
        <w:t xml:space="preserve"> yang tinggi.</w:t>
      </w:r>
    </w:p>
    <w:p w14:paraId="7C97B1A4" w14:textId="77777777" w:rsidR="00DD4768" w:rsidRDefault="00000000">
      <w:pPr>
        <w:numPr>
          <w:ilvl w:val="0"/>
          <w:numId w:val="7"/>
        </w:numPr>
        <w:pBdr>
          <w:top w:val="nil"/>
          <w:left w:val="nil"/>
          <w:bottom w:val="nil"/>
          <w:right w:val="nil"/>
          <w:between w:val="nil"/>
        </w:pBdr>
        <w:spacing w:before="240" w:after="80" w:line="240" w:lineRule="auto"/>
        <w:ind w:left="289" w:hanging="289"/>
        <w:jc w:val="center"/>
        <w:rPr>
          <w:rFonts w:ascii="Times New Roman" w:eastAsia="Times New Roman" w:hAnsi="Times New Roman" w:cs="Times New Roman"/>
          <w:smallCaps/>
          <w:color w:val="000000"/>
          <w:sz w:val="20"/>
          <w:szCs w:val="20"/>
        </w:rPr>
      </w:pPr>
      <w:r>
        <w:rPr>
          <w:rFonts w:ascii="Times New Roman" w:eastAsia="Times New Roman" w:hAnsi="Times New Roman" w:cs="Times New Roman"/>
          <w:smallCaps/>
          <w:color w:val="000000"/>
          <w:sz w:val="20"/>
          <w:szCs w:val="20"/>
        </w:rPr>
        <w:tab/>
        <w:t>Hasil Dan Pembahasan</w:t>
      </w:r>
    </w:p>
    <w:p w14:paraId="6286E56D"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3.1. </w:t>
      </w:r>
      <w:r>
        <w:rPr>
          <w:rFonts w:ascii="Times New Roman" w:eastAsia="Times New Roman" w:hAnsi="Times New Roman" w:cs="Times New Roman"/>
          <w:i/>
          <w:iCs/>
          <w:sz w:val="20"/>
          <w:szCs w:val="20"/>
        </w:rPr>
        <w:t>Profil Statistik Rantai Pasok dan Jejak Karbon</w:t>
      </w:r>
    </w:p>
    <w:p w14:paraId="6C1C6262"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Hasil eksekusi model analitik pada dataset Beras dan Kedelai mengungkapkan fakta kuantitatif mengenai beban lingkungan program MBG. Total emisi karbon yang dihasilkan dari sampel transaksi logistik mencapai angka 112.117,12 kg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(setara dengan 112,11 ton). Angka ini bukan jumlah yang trivial. Sebagai perbandingan, satu pohon dewasa rata-rata menyerap sekitar 22 kg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per tahun. Artinya, untuk menebus emisi dari aktivitas logistik sampel ini saja, diperlukan penanaman sekitar 5.096 pohon. Temuan ini memvalidasi hipotesis bahwa tanpa intervensi </w:t>
      </w:r>
      <w:r>
        <w:rPr>
          <w:rFonts w:ascii="Times New Roman" w:eastAsia="Times New Roman" w:hAnsi="Times New Roman" w:cs="Times New Roman"/>
          <w:i/>
          <w:iCs/>
          <w:sz w:val="20"/>
          <w:szCs w:val="20"/>
        </w:rPr>
        <w:t>Green Logistics</w:t>
      </w:r>
      <w:r>
        <w:rPr>
          <w:rFonts w:ascii="Times New Roman" w:eastAsia="Times New Roman" w:hAnsi="Times New Roman" w:cs="Times New Roman"/>
          <w:sz w:val="20"/>
          <w:szCs w:val="20"/>
        </w:rPr>
        <w:t>, program MBG berpotensi menjadi kontributor emisi yang signifikan.</w:t>
      </w:r>
    </w:p>
    <w:p w14:paraId="17F73700"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Analisis lebih lanjut pada variabel jarak menunjukkan rata-rata jarak tempuh distribusi sebesar 297 KM. Angka ini mengindikasikan bahwa pola distribusi pangan saat ini masih bersifat Regional (lintas kabupaten dalam satu provinsi atau antar-provinsi berdekatan), belum mencapai tahap Hiper-Lokal (&lt;50 KM) yang dicita-citakan dalam konsep </w:t>
      </w:r>
      <w:r>
        <w:rPr>
          <w:rFonts w:ascii="Times New Roman" w:eastAsia="Times New Roman" w:hAnsi="Times New Roman" w:cs="Times New Roman"/>
          <w:i/>
          <w:iCs/>
          <w:sz w:val="20"/>
          <w:szCs w:val="20"/>
        </w:rPr>
        <w:t>Community-Based Food Systems</w:t>
      </w:r>
      <w:r>
        <w:rPr>
          <w:rFonts w:ascii="Times New Roman" w:eastAsia="Times New Roman" w:hAnsi="Times New Roman" w:cs="Times New Roman"/>
          <w:sz w:val="20"/>
          <w:szCs w:val="20"/>
        </w:rPr>
        <w:t>. Jarak rata-rata hampir 300 KM ini membawa implikasi risiko:</w:t>
      </w:r>
    </w:p>
    <w:p w14:paraId="0205B5F9" w14:textId="77777777" w:rsidR="00DD4768" w:rsidRDefault="00000000">
      <w:pPr>
        <w:numPr>
          <w:ilvl w:val="0"/>
          <w:numId w:val="6"/>
        </w:num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Risiko Mutu: Semakin lama waktu tempuh, semakin tinggi risiko degradasi nutrisi, terutama untuk sayuran atau bahan segar, kecuali didukung armada berpendingin (</w:t>
      </w:r>
      <w:r>
        <w:rPr>
          <w:rFonts w:ascii="Times New Roman" w:eastAsia="Times New Roman" w:hAnsi="Times New Roman" w:cs="Times New Roman"/>
          <w:i/>
          <w:iCs/>
          <w:sz w:val="20"/>
          <w:szCs w:val="20"/>
        </w:rPr>
        <w:t>reefer truck</w:t>
      </w:r>
      <w:r>
        <w:rPr>
          <w:rFonts w:ascii="Times New Roman" w:eastAsia="Times New Roman" w:hAnsi="Times New Roman" w:cs="Times New Roman"/>
          <w:sz w:val="20"/>
          <w:szCs w:val="20"/>
        </w:rPr>
        <w:t>) yang memadai.</w:t>
      </w:r>
    </w:p>
    <w:p w14:paraId="3022C310" w14:textId="77777777" w:rsidR="00DD4768" w:rsidRDefault="00000000">
      <w:pPr>
        <w:numPr>
          <w:ilvl w:val="0"/>
          <w:numId w:val="6"/>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Risiko Biaya: Biaya bahan bakar minyak (BBM) berbanding lurus dengan jarak. Fluktuasi harga minyak dunia akan langsung berdampak pada inflasi biaya per porsi makanan.</w:t>
      </w:r>
    </w:p>
    <w:p w14:paraId="40A1F9BB"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3.2. Evaluasi Kinerja Supplier (Green Sourcing Analysis)</w:t>
      </w:r>
    </w:p>
    <w:p w14:paraId="20F65F44"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Penerapan algoritma Weighted Scoring Model menghasilkan peringkat kinerja supplier yang memberikan wawasan strategis mendalam. Tabel 1 di bawah ini merangkum 5 rute pasokan dengan skor keberlanjutan tertinggi.</w:t>
      </w:r>
    </w:p>
    <w:p w14:paraId="26B16F7F" w14:textId="77777777" w:rsidR="00DD4768" w:rsidRDefault="00000000">
      <w:pPr>
        <w:spacing w:after="0" w:line="240" w:lineRule="auto"/>
        <w:jc w:val="both"/>
        <w:rPr>
          <w:rFonts w:ascii="Times New Roman" w:eastAsia="Times New Roman" w:hAnsi="Times New Roman" w:cs="Times New Roman"/>
          <w:sz w:val="16"/>
          <w:szCs w:val="16"/>
        </w:rPr>
      </w:pPr>
      <w:r>
        <w:rPr>
          <w:noProof/>
        </w:rPr>
        <mc:AlternateContent>
          <mc:Choice Requires="wps">
            <w:drawing>
              <wp:inline distT="0" distB="0" distL="0" distR="0" wp14:anchorId="20761C57" wp14:editId="6E29F90A">
                <wp:extent cx="5691505" cy="285527"/>
                <wp:effectExtent l="0" t="0" r="0" b="0"/>
                <wp:docPr id="1877660493" name="Rectangle: Rounded Corners 1877660493"/>
                <wp:cNvGraphicFramePr/>
                <a:graphic xmlns:a="http://schemas.openxmlformats.org/drawingml/2006/main">
                  <a:graphicData uri="http://schemas.microsoft.com/office/word/2010/wordprocessingShape">
                    <wps:wsp>
                      <wps:cNvSpPr/>
                      <wps:spPr>
                        <a:xfrm>
                          <a:off x="2506598" y="3645380"/>
                          <a:ext cx="5678805" cy="269240"/>
                        </a:xfrm>
                        <a:prstGeom prst="roundRect">
                          <a:avLst>
                            <a:gd name="adj" fmla="val 16667"/>
                          </a:avLst>
                        </a:prstGeom>
                        <a:noFill/>
                        <a:ln w="12700" cap="flat" cmpd="sng">
                          <a:solidFill>
                            <a:srgbClr val="000000"/>
                          </a:solidFill>
                          <a:prstDash val="solid"/>
                          <a:miter lim="800000"/>
                          <a:headEnd type="none" w="sm" len="sm"/>
                          <a:tailEnd type="none" w="sm" len="sm"/>
                        </a:ln>
                      </wps:spPr>
                      <wps:txbx>
                        <w:txbxContent>
                          <w:p w14:paraId="1527F1A2" w14:textId="52E7ABFE" w:rsidR="00DD4768" w:rsidRDefault="00000000">
                            <w:pPr>
                              <w:spacing w:after="0" w:line="240" w:lineRule="auto"/>
                              <w:ind w:left="850"/>
                              <w:jc w:val="center"/>
                              <w:textDirection w:val="btLr"/>
                            </w:pPr>
                            <w:r>
                              <w:rPr>
                                <w:rFonts w:ascii="Times New Roman" w:eastAsia="Times New Roman" w:hAnsi="Times New Roman" w:cs="Times New Roman"/>
                                <w:b/>
                                <w:smallCaps/>
                                <w:color w:val="000000"/>
                                <w:sz w:val="20"/>
                              </w:rPr>
                              <w:t>Tabel</w:t>
                            </w:r>
                            <w:r>
                              <w:rPr>
                                <w:rFonts w:ascii="Times New Roman" w:eastAsia="Times New Roman" w:hAnsi="Times New Roman" w:cs="Times New Roman"/>
                                <w:b/>
                                <w:color w:val="000000"/>
                                <w:sz w:val="20"/>
                              </w:rPr>
                              <w:t xml:space="preserve"> 1.</w:t>
                            </w:r>
                            <w:r>
                              <w:rPr>
                                <w:rFonts w:ascii="Times New Roman" w:eastAsia="Times New Roman" w:hAnsi="Times New Roman" w:cs="Times New Roman"/>
                                <w:color w:val="000000"/>
                                <w:sz w:val="20"/>
                              </w:rPr>
                              <w:t xml:space="preserve">  Peringkat Green Supplier Rekomendasi Sistem</w:t>
                            </w:r>
                          </w:p>
                        </w:txbxContent>
                      </wps:txbx>
                      <wps:bodyPr spcFirstLastPara="1" wrap="square" lIns="91425" tIns="45700" rIns="91425" bIns="45700" anchor="ctr" anchorCtr="0">
                        <a:noAutofit/>
                      </wps:bodyPr>
                    </wps:wsp>
                  </a:graphicData>
                </a:graphic>
              </wp:inline>
            </w:drawing>
          </mc:Choice>
          <mc:Fallback>
            <w:pict>
              <v:roundrect w14:anchorId="20761C57" id="Rectangle: Rounded Corners 1877660493" o:spid="_x0000_s1027" style="width:448.15pt;height:2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" filled="f" strokeweight="1pt">
                <v:stroke startarrowwidth="narrow" startarrowlength="short" endarrowwidth="narrow" endarrowlength="short" joinstyle="miter"/>
                <v:textbox inset="2.53958mm,1.2694mm,2.53958mm,1.2694mm">
                  <w:txbxContent>
                    <w:p w14:paraId="1527F1A2" w14:textId="52E7ABFE" w:rsidR="00DD4768" w:rsidRDefault="00000000">
                      <w:pPr>
                        <w:spacing w:after="0" w:line="240" w:lineRule="auto"/>
                        <w:ind w:left="850"/>
                        <w:jc w:val="center"/>
                        <w:textDirection w:val="btLr"/>
                      </w:pPr>
                      <w:r>
                        <w:rPr>
                          <w:rFonts w:ascii="Times New Roman" w:eastAsia="Times New Roman" w:hAnsi="Times New Roman" w:cs="Times New Roman"/>
                          <w:b/>
                          <w:smallCaps/>
                          <w:color w:val="000000"/>
                          <w:sz w:val="20"/>
                        </w:rPr>
                        <w:t>Tabel</w:t>
                      </w:r>
                      <w:r>
                        <w:rPr>
                          <w:rFonts w:ascii="Times New Roman" w:eastAsia="Times New Roman" w:hAnsi="Times New Roman" w:cs="Times New Roman"/>
                          <w:b/>
                          <w:color w:val="000000"/>
                          <w:sz w:val="20"/>
                        </w:rPr>
                        <w:t xml:space="preserve"> 1.</w:t>
                      </w:r>
                      <w:r>
                        <w:rPr>
                          <w:rFonts w:ascii="Times New Roman" w:eastAsia="Times New Roman" w:hAnsi="Times New Roman" w:cs="Times New Roman"/>
                          <w:color w:val="000000"/>
                          <w:sz w:val="20"/>
                        </w:rPr>
                        <w:t xml:space="preserve">  Peringkat Green Supplier Rekomendasi Sistem</w:t>
                      </w:r>
                    </w:p>
                  </w:txbxContent>
                </v:textbox>
                <w10:anchorlock/>
              </v:roundrect>
            </w:pict>
          </mc:Fallback>
        </mc:AlternateContent>
      </w:r>
    </w:p>
    <w:p w14:paraId="000F3308" w14:textId="77777777" w:rsidR="00DD4768" w:rsidRDefault="00DD4768">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p>
    <w:tbl>
      <w:tblPr>
        <w:tblStyle w:val="TableGrid0"/>
        <w:tblW w:w="5000" w:type="pct"/>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147"/>
        <w:gridCol w:w="2083"/>
        <w:gridCol w:w="1475"/>
        <w:gridCol w:w="1334"/>
        <w:gridCol w:w="1693"/>
        <w:gridCol w:w="1294"/>
      </w:tblGrid>
      <w:tr w:rsidR="00E02A86" w14:paraId="12CD37E4" w14:textId="77777777" w:rsidTr="00E02A86">
        <w:trPr>
          <w:jc w:val="center"/>
        </w:trPr>
        <w:tc>
          <w:tcPr>
            <w:tcW w:w="635" w:type="pct"/>
            <w:tcBorders>
              <w:top w:val="single" w:sz="18" w:space="0" w:color="auto"/>
              <w:bottom w:val="single" w:sz="18" w:space="0" w:color="auto"/>
            </w:tcBorders>
            <w:vAlign w:val="center"/>
          </w:tcPr>
          <w:p w14:paraId="0554C857" w14:textId="326E3652"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Peringkat</w:t>
            </w:r>
          </w:p>
        </w:tc>
        <w:tc>
          <w:tcPr>
            <w:tcW w:w="1154" w:type="pct"/>
            <w:tcBorders>
              <w:top w:val="single" w:sz="18" w:space="0" w:color="auto"/>
              <w:bottom w:val="single" w:sz="18" w:space="0" w:color="auto"/>
            </w:tcBorders>
            <w:vAlign w:val="center"/>
          </w:tcPr>
          <w:p w14:paraId="20967259" w14:textId="4926A5E8"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Asal Pasokan</w:t>
            </w:r>
          </w:p>
        </w:tc>
        <w:tc>
          <w:tcPr>
            <w:tcW w:w="817" w:type="pct"/>
            <w:tcBorders>
              <w:top w:val="single" w:sz="18" w:space="0" w:color="auto"/>
              <w:bottom w:val="single" w:sz="18" w:space="0" w:color="auto"/>
            </w:tcBorders>
            <w:vAlign w:val="center"/>
          </w:tcPr>
          <w:p w14:paraId="46AD7169" w14:textId="6AB77F02"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Tujuan</w:t>
            </w:r>
          </w:p>
        </w:tc>
        <w:tc>
          <w:tcPr>
            <w:tcW w:w="739" w:type="pct"/>
            <w:tcBorders>
              <w:top w:val="single" w:sz="18" w:space="0" w:color="auto"/>
              <w:bottom w:val="single" w:sz="18" w:space="0" w:color="auto"/>
            </w:tcBorders>
            <w:vAlign w:val="center"/>
          </w:tcPr>
          <w:p w14:paraId="06E4A203" w14:textId="1C9065BE"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Jarak (KM)</w:t>
            </w:r>
          </w:p>
        </w:tc>
        <w:tc>
          <w:tcPr>
            <w:tcW w:w="938" w:type="pct"/>
            <w:tcBorders>
              <w:top w:val="single" w:sz="18" w:space="0" w:color="auto"/>
              <w:bottom w:val="single" w:sz="18" w:space="0" w:color="auto"/>
            </w:tcBorders>
            <w:vAlign w:val="center"/>
          </w:tcPr>
          <w:p w14:paraId="0C2810E7" w14:textId="031711E7"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 xml:space="preserve">Emisi (kg </w:t>
            </w:r>
            <m:oMath>
              <m:sSub>
                <m:sSubPr>
                  <m:ctrlPr>
                    <w:rPr>
                      <w:rFonts w:ascii="Cambria Math" w:eastAsia="Times New Roman" w:hAnsi="Cambria Math" w:cs="Times New Roman"/>
                      <w:b/>
                      <w:bCs/>
                      <w:sz w:val="20"/>
                      <w:szCs w:val="20"/>
                    </w:rPr>
                  </m:ctrlPr>
                </m:sSubPr>
                <m:e>
                  <m:r>
                    <m:rPr>
                      <m:sty m:val="bi"/>
                    </m:rPr>
                    <w:rPr>
                      <w:rFonts w:ascii="Cambria Math" w:eastAsia="Times New Roman" w:hAnsi="Cambria Math" w:cs="Times New Roman"/>
                      <w:sz w:val="20"/>
                      <w:szCs w:val="20"/>
                    </w:rPr>
                    <m:t>CO</m:t>
                  </m:r>
                </m:e>
                <m:sub>
                  <m:r>
                    <m:rPr>
                      <m:sty m:val="bi"/>
                    </m:rPr>
                    <w:rPr>
                      <w:rFonts w:ascii="Cambria Math" w:eastAsia="Times New Roman" w:hAnsi="Cambria Math" w:cs="Times New Roman"/>
                      <w:sz w:val="20"/>
                      <w:szCs w:val="20"/>
                    </w:rPr>
                    <m:t>2</m:t>
                  </m:r>
                </m:sub>
              </m:sSub>
            </m:oMath>
            <w:r w:rsidRPr="00E02A86">
              <w:rPr>
                <w:rFonts w:ascii="Times New Roman" w:hAnsi="Times New Roman" w:cs="Times New Roman"/>
                <w:b/>
                <w:bCs/>
                <w:sz w:val="20"/>
                <w:szCs w:val="20"/>
              </w:rPr>
              <w:t>​)</w:t>
            </w:r>
          </w:p>
        </w:tc>
        <w:tc>
          <w:tcPr>
            <w:tcW w:w="717" w:type="pct"/>
            <w:tcBorders>
              <w:top w:val="single" w:sz="18" w:space="0" w:color="auto"/>
              <w:bottom w:val="single" w:sz="18" w:space="0" w:color="auto"/>
            </w:tcBorders>
            <w:vAlign w:val="center"/>
          </w:tcPr>
          <w:p w14:paraId="781D3027" w14:textId="7908E39C" w:rsidR="00E02A86" w:rsidRPr="00E02A86" w:rsidRDefault="00E02A86" w:rsidP="00E02A86">
            <w:pPr>
              <w:jc w:val="center"/>
              <w:rPr>
                <w:rFonts w:ascii="Times New Roman" w:eastAsia="Times New Roman" w:hAnsi="Times New Roman" w:cs="Times New Roman"/>
                <w:b/>
                <w:bCs/>
                <w:sz w:val="20"/>
                <w:szCs w:val="20"/>
              </w:rPr>
            </w:pPr>
            <w:r w:rsidRPr="00E02A86">
              <w:rPr>
                <w:rFonts w:ascii="Times New Roman" w:hAnsi="Times New Roman" w:cs="Times New Roman"/>
                <w:b/>
                <w:bCs/>
                <w:sz w:val="20"/>
                <w:szCs w:val="20"/>
              </w:rPr>
              <w:t>Skor Akhir</w:t>
            </w:r>
          </w:p>
        </w:tc>
      </w:tr>
      <w:tr w:rsidR="00E02A86" w14:paraId="1E389346" w14:textId="77777777" w:rsidTr="00E02A86">
        <w:trPr>
          <w:jc w:val="center"/>
        </w:trPr>
        <w:tc>
          <w:tcPr>
            <w:tcW w:w="635" w:type="pct"/>
            <w:tcBorders>
              <w:top w:val="single" w:sz="18" w:space="0" w:color="auto"/>
            </w:tcBorders>
            <w:vAlign w:val="center"/>
          </w:tcPr>
          <w:p w14:paraId="65E5D2B5" w14:textId="1CF7E76B"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w:t>
            </w:r>
          </w:p>
        </w:tc>
        <w:tc>
          <w:tcPr>
            <w:tcW w:w="1154" w:type="pct"/>
            <w:tcBorders>
              <w:top w:val="single" w:sz="18" w:space="0" w:color="auto"/>
            </w:tcBorders>
            <w:vAlign w:val="center"/>
          </w:tcPr>
          <w:p w14:paraId="3CD16264" w14:textId="6D75B01C"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Kab. Pelalawan</w:t>
            </w:r>
          </w:p>
        </w:tc>
        <w:tc>
          <w:tcPr>
            <w:tcW w:w="817" w:type="pct"/>
            <w:tcBorders>
              <w:top w:val="single" w:sz="18" w:space="0" w:color="auto"/>
            </w:tcBorders>
            <w:vAlign w:val="center"/>
          </w:tcPr>
          <w:p w14:paraId="47B85ABD" w14:textId="56F223DF"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Kab. Siak</w:t>
            </w:r>
          </w:p>
        </w:tc>
        <w:tc>
          <w:tcPr>
            <w:tcW w:w="739" w:type="pct"/>
            <w:tcBorders>
              <w:top w:val="single" w:sz="18" w:space="0" w:color="auto"/>
            </w:tcBorders>
            <w:vAlign w:val="center"/>
          </w:tcPr>
          <w:p w14:paraId="067DD849" w14:textId="22570C0A"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191</w:t>
            </w:r>
          </w:p>
        </w:tc>
        <w:tc>
          <w:tcPr>
            <w:tcW w:w="938" w:type="pct"/>
            <w:tcBorders>
              <w:top w:val="single" w:sz="18" w:space="0" w:color="auto"/>
            </w:tcBorders>
            <w:vAlign w:val="center"/>
          </w:tcPr>
          <w:p w14:paraId="24DF10E8" w14:textId="00758FF0"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2.387</w:t>
            </w:r>
          </w:p>
        </w:tc>
        <w:tc>
          <w:tcPr>
            <w:tcW w:w="717" w:type="pct"/>
            <w:tcBorders>
              <w:top w:val="single" w:sz="18" w:space="0" w:color="auto"/>
            </w:tcBorders>
            <w:vAlign w:val="center"/>
          </w:tcPr>
          <w:p w14:paraId="1C986A74" w14:textId="391F956C"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0,89</w:t>
            </w:r>
          </w:p>
        </w:tc>
      </w:tr>
      <w:tr w:rsidR="00E02A86" w14:paraId="6D720931" w14:textId="77777777" w:rsidTr="00E02A86">
        <w:trPr>
          <w:jc w:val="center"/>
        </w:trPr>
        <w:tc>
          <w:tcPr>
            <w:tcW w:w="635" w:type="pct"/>
            <w:vAlign w:val="center"/>
          </w:tcPr>
          <w:p w14:paraId="7B76A191" w14:textId="0BB422A9"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2</w:t>
            </w:r>
          </w:p>
        </w:tc>
        <w:tc>
          <w:tcPr>
            <w:tcW w:w="1154" w:type="pct"/>
            <w:vAlign w:val="center"/>
          </w:tcPr>
          <w:p w14:paraId="11214046" w14:textId="18A264D8"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Kab. Malang</w:t>
            </w:r>
          </w:p>
        </w:tc>
        <w:tc>
          <w:tcPr>
            <w:tcW w:w="817" w:type="pct"/>
            <w:vAlign w:val="center"/>
          </w:tcPr>
          <w:p w14:paraId="43AB7600" w14:textId="290375D5"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Kota Malang</w:t>
            </w:r>
          </w:p>
        </w:tc>
        <w:tc>
          <w:tcPr>
            <w:tcW w:w="739" w:type="pct"/>
            <w:vAlign w:val="center"/>
          </w:tcPr>
          <w:p w14:paraId="23DABD29" w14:textId="04CC2B2C"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15</w:t>
            </w:r>
          </w:p>
        </w:tc>
        <w:tc>
          <w:tcPr>
            <w:tcW w:w="938" w:type="pct"/>
            <w:vAlign w:val="center"/>
          </w:tcPr>
          <w:p w14:paraId="19979B99" w14:textId="27A0F2B4"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124</w:t>
            </w:r>
          </w:p>
        </w:tc>
        <w:tc>
          <w:tcPr>
            <w:tcW w:w="717" w:type="pct"/>
            <w:vAlign w:val="center"/>
          </w:tcPr>
          <w:p w14:paraId="6838FDEB" w14:textId="648BB450"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0,86</w:t>
            </w:r>
          </w:p>
        </w:tc>
      </w:tr>
      <w:tr w:rsidR="00E02A86" w14:paraId="768BFC44" w14:textId="77777777" w:rsidTr="00E02A86">
        <w:trPr>
          <w:jc w:val="center"/>
        </w:trPr>
        <w:tc>
          <w:tcPr>
            <w:tcW w:w="635" w:type="pct"/>
            <w:vAlign w:val="center"/>
          </w:tcPr>
          <w:p w14:paraId="4AD7A16C" w14:textId="5E91417E"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3</w:t>
            </w:r>
          </w:p>
        </w:tc>
        <w:tc>
          <w:tcPr>
            <w:tcW w:w="1154" w:type="pct"/>
            <w:vAlign w:val="center"/>
          </w:tcPr>
          <w:p w14:paraId="4D58998E" w14:textId="058A7637"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Gapoktan Sampang</w:t>
            </w:r>
          </w:p>
        </w:tc>
        <w:tc>
          <w:tcPr>
            <w:tcW w:w="817" w:type="pct"/>
            <w:vAlign w:val="center"/>
          </w:tcPr>
          <w:p w14:paraId="5B07B6F3" w14:textId="2BE5BDA0"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Sampang</w:t>
            </w:r>
          </w:p>
        </w:tc>
        <w:tc>
          <w:tcPr>
            <w:tcW w:w="739" w:type="pct"/>
            <w:vAlign w:val="center"/>
          </w:tcPr>
          <w:p w14:paraId="5202645D" w14:textId="27A86BF5"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10</w:t>
            </w:r>
          </w:p>
        </w:tc>
        <w:tc>
          <w:tcPr>
            <w:tcW w:w="938" w:type="pct"/>
            <w:vAlign w:val="center"/>
          </w:tcPr>
          <w:p w14:paraId="40D126B1" w14:textId="03425EC3"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50</w:t>
            </w:r>
          </w:p>
        </w:tc>
        <w:tc>
          <w:tcPr>
            <w:tcW w:w="717" w:type="pct"/>
            <w:vAlign w:val="center"/>
          </w:tcPr>
          <w:p w14:paraId="32C62526" w14:textId="243A20A1"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0,80</w:t>
            </w:r>
          </w:p>
        </w:tc>
      </w:tr>
      <w:tr w:rsidR="00E02A86" w14:paraId="5D9B8B99" w14:textId="77777777" w:rsidTr="00E02A86">
        <w:trPr>
          <w:jc w:val="center"/>
        </w:trPr>
        <w:tc>
          <w:tcPr>
            <w:tcW w:w="635" w:type="pct"/>
            <w:vAlign w:val="center"/>
          </w:tcPr>
          <w:p w14:paraId="7359B842" w14:textId="65028666"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4</w:t>
            </w:r>
          </w:p>
        </w:tc>
        <w:tc>
          <w:tcPr>
            <w:tcW w:w="1154" w:type="pct"/>
            <w:vAlign w:val="center"/>
          </w:tcPr>
          <w:p w14:paraId="53FEAA0C" w14:textId="2CEAD398"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Gapoktan Sigi</w:t>
            </w:r>
          </w:p>
        </w:tc>
        <w:tc>
          <w:tcPr>
            <w:tcW w:w="817" w:type="pct"/>
            <w:vAlign w:val="center"/>
          </w:tcPr>
          <w:p w14:paraId="6BCE61C1" w14:textId="47C42E35"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Sigi</w:t>
            </w:r>
          </w:p>
        </w:tc>
        <w:tc>
          <w:tcPr>
            <w:tcW w:w="739" w:type="pct"/>
            <w:vAlign w:val="center"/>
          </w:tcPr>
          <w:p w14:paraId="67890952" w14:textId="4C2D85BD"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12</w:t>
            </w:r>
          </w:p>
        </w:tc>
        <w:tc>
          <w:tcPr>
            <w:tcW w:w="938" w:type="pct"/>
            <w:vAlign w:val="center"/>
          </w:tcPr>
          <w:p w14:paraId="0F377153" w14:textId="09707F60"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60</w:t>
            </w:r>
          </w:p>
        </w:tc>
        <w:tc>
          <w:tcPr>
            <w:tcW w:w="717" w:type="pct"/>
            <w:vAlign w:val="center"/>
          </w:tcPr>
          <w:p w14:paraId="5D032B28" w14:textId="3BD345F0"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0,80</w:t>
            </w:r>
          </w:p>
        </w:tc>
      </w:tr>
      <w:tr w:rsidR="00E02A86" w14:paraId="00D61455" w14:textId="77777777" w:rsidTr="00E02A86">
        <w:trPr>
          <w:jc w:val="center"/>
        </w:trPr>
        <w:tc>
          <w:tcPr>
            <w:tcW w:w="635" w:type="pct"/>
            <w:vAlign w:val="center"/>
          </w:tcPr>
          <w:p w14:paraId="33476644" w14:textId="332EEDA4"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5</w:t>
            </w:r>
          </w:p>
        </w:tc>
        <w:tc>
          <w:tcPr>
            <w:tcW w:w="1154" w:type="pct"/>
            <w:vAlign w:val="center"/>
          </w:tcPr>
          <w:p w14:paraId="552B17F1" w14:textId="2A5F842C"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Gapoktan Sigi</w:t>
            </w:r>
          </w:p>
        </w:tc>
        <w:tc>
          <w:tcPr>
            <w:tcW w:w="817" w:type="pct"/>
            <w:vAlign w:val="center"/>
          </w:tcPr>
          <w:p w14:paraId="71425F33" w14:textId="2D5E4C6D"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Sigi</w:t>
            </w:r>
          </w:p>
        </w:tc>
        <w:tc>
          <w:tcPr>
            <w:tcW w:w="739" w:type="pct"/>
            <w:vAlign w:val="center"/>
          </w:tcPr>
          <w:p w14:paraId="1A4B21E3" w14:textId="15A6AD2B"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12</w:t>
            </w:r>
          </w:p>
        </w:tc>
        <w:tc>
          <w:tcPr>
            <w:tcW w:w="938" w:type="pct"/>
            <w:vAlign w:val="center"/>
          </w:tcPr>
          <w:p w14:paraId="4F5FCCC4" w14:textId="364E0D9C"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60</w:t>
            </w:r>
          </w:p>
        </w:tc>
        <w:tc>
          <w:tcPr>
            <w:tcW w:w="717" w:type="pct"/>
            <w:vAlign w:val="center"/>
          </w:tcPr>
          <w:p w14:paraId="293F6A19" w14:textId="6B6CDBFB" w:rsidR="00E02A86" w:rsidRPr="00E02A86" w:rsidRDefault="00E02A86" w:rsidP="00E02A86">
            <w:pPr>
              <w:jc w:val="center"/>
              <w:rPr>
                <w:rFonts w:ascii="Times New Roman" w:eastAsia="Times New Roman" w:hAnsi="Times New Roman" w:cs="Times New Roman"/>
                <w:sz w:val="20"/>
                <w:szCs w:val="20"/>
              </w:rPr>
            </w:pPr>
            <w:r w:rsidRPr="00E02A86">
              <w:rPr>
                <w:rFonts w:ascii="Times New Roman" w:hAnsi="Times New Roman" w:cs="Times New Roman"/>
                <w:sz w:val="20"/>
                <w:szCs w:val="20"/>
              </w:rPr>
              <w:t>0,80</w:t>
            </w:r>
          </w:p>
        </w:tc>
      </w:tr>
    </w:tbl>
    <w:p w14:paraId="62256FDA" w14:textId="77777777" w:rsidR="00DD4768" w:rsidRDefault="00DD4768" w:rsidP="00E02A86">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5140F602"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3.3. </w:t>
      </w:r>
      <w:r>
        <w:rPr>
          <w:rFonts w:ascii="Times New Roman" w:eastAsia="Times New Roman" w:hAnsi="Times New Roman" w:cs="Times New Roman"/>
          <w:i/>
          <w:iCs/>
          <w:sz w:val="20"/>
          <w:szCs w:val="20"/>
        </w:rPr>
        <w:t>Diskusi Mendalam: Fenomena Trade-off Volume vs Jarak</w:t>
      </w:r>
    </w:p>
    <w:p w14:paraId="442A7CD9"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Analisis terhadap Tabel 1 memunculkan temuan menarik yang menantang asumsi umum bahwa "Jarak Terdekat Selalu Terbaik".</w:t>
      </w:r>
    </w:p>
    <w:p w14:paraId="2D046DAB" w14:textId="77777777" w:rsidR="00DD4768" w:rsidRDefault="00000000">
      <w:pPr>
        <w:numPr>
          <w:ilvl w:val="0"/>
          <w:numId w:val="3"/>
        </w:numPr>
        <w:pBdr>
          <w:top w:val="nil"/>
          <w:left w:val="nil"/>
          <w:bottom w:val="nil"/>
          <w:right w:val="nil"/>
          <w:between w:val="nil"/>
        </w:pBdr>
        <w:spacing w:before="120" w:after="0" w:line="240" w:lineRule="auto"/>
        <w:ind w:left="359" w:hanging="359"/>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Kasus Pemenang: Kab. Pelalawan ke Kab. Siak (Skor 0,89)</w:t>
      </w:r>
    </w:p>
    <w:p w14:paraId="1DF014FC"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Rute ini menempati peringkat pertama meskipun jarak tempuhnya 191 KM, jauh lebih panjang dibandingkan rute Malang (15 KM). Mengapa algoritma memenangkan rute ini? Jawabannya terletak pada variabel Volume.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dari Pelalawan mampu mengirimkan volume komoditas dalam jumlah yang sangat masif dalam satu kali pengiriman (</w:t>
      </w:r>
      <w:r>
        <w:rPr>
          <w:rFonts w:ascii="Times New Roman" w:eastAsia="Times New Roman" w:hAnsi="Times New Roman" w:cs="Times New Roman"/>
          <w:i/>
          <w:iCs/>
          <w:sz w:val="20"/>
          <w:szCs w:val="20"/>
        </w:rPr>
        <w:t>bulk shipment</w:t>
      </w:r>
      <w:r>
        <w:rPr>
          <w:rFonts w:ascii="Times New Roman" w:eastAsia="Times New Roman" w:hAnsi="Times New Roman" w:cs="Times New Roman"/>
          <w:sz w:val="20"/>
          <w:szCs w:val="20"/>
        </w:rPr>
        <w:t xml:space="preserve">). Dalam perspektif logistik, pengiriman volume besar jarak menengah seringkali lebih efisien secara emisi </w:t>
      </w:r>
      <w:r>
        <w:rPr>
          <w:rFonts w:ascii="Times New Roman" w:eastAsia="Times New Roman" w:hAnsi="Times New Roman" w:cs="Times New Roman"/>
          <w:i/>
          <w:iCs/>
          <w:sz w:val="20"/>
          <w:szCs w:val="20"/>
        </w:rPr>
        <w:t>per unit barang</w:t>
      </w:r>
      <w:r>
        <w:rPr>
          <w:rFonts w:ascii="Times New Roman" w:eastAsia="Times New Roman" w:hAnsi="Times New Roman" w:cs="Times New Roman"/>
          <w:sz w:val="20"/>
          <w:szCs w:val="20"/>
        </w:rPr>
        <w:t xml:space="preserve"> dibandingkan pengiriman volume kecil berulang-ulang (</w:t>
      </w:r>
      <w:r>
        <w:rPr>
          <w:rFonts w:ascii="Times New Roman" w:eastAsia="Times New Roman" w:hAnsi="Times New Roman" w:cs="Times New Roman"/>
          <w:i/>
          <w:iCs/>
          <w:sz w:val="20"/>
          <w:szCs w:val="20"/>
        </w:rPr>
        <w:t>frequency deliveries</w:t>
      </w:r>
      <w:r>
        <w:rPr>
          <w:rFonts w:ascii="Times New Roman" w:eastAsia="Times New Roman" w:hAnsi="Times New Roman" w:cs="Times New Roman"/>
          <w:sz w:val="20"/>
          <w:szCs w:val="20"/>
        </w:rPr>
        <w:t>). Selain itu, skor keamanan pasokan (Volume) yang tinggi memberikan bobot signifikan. Ini merepresentasikan karakteristik Supplier Strategis: mitra yang andal untuk memenuhi kebutuhan dapur umum pusat yang melayani puluhan ribu siswa sekaligus. Ketahanan pasokan (</w:t>
      </w:r>
      <w:r>
        <w:rPr>
          <w:rFonts w:ascii="Times New Roman" w:eastAsia="Times New Roman" w:hAnsi="Times New Roman" w:cs="Times New Roman"/>
          <w:i/>
          <w:iCs/>
          <w:sz w:val="20"/>
          <w:szCs w:val="20"/>
        </w:rPr>
        <w:t>Supply Security</w:t>
      </w:r>
      <w:r>
        <w:rPr>
          <w:rFonts w:ascii="Times New Roman" w:eastAsia="Times New Roman" w:hAnsi="Times New Roman" w:cs="Times New Roman"/>
          <w:sz w:val="20"/>
          <w:szCs w:val="20"/>
        </w:rPr>
        <w:t>) di sini menjadi faktor penentu.</w:t>
      </w:r>
    </w:p>
    <w:p w14:paraId="1E61D58D" w14:textId="77777777" w:rsidR="00DD4768" w:rsidRDefault="00000000">
      <w:pPr>
        <w:numPr>
          <w:ilvl w:val="0"/>
          <w:numId w:val="3"/>
        </w:numPr>
        <w:pBdr>
          <w:top w:val="nil"/>
          <w:left w:val="nil"/>
          <w:bottom w:val="nil"/>
          <w:right w:val="nil"/>
          <w:between w:val="nil"/>
        </w:pBdr>
        <w:spacing w:before="120" w:after="0" w:line="240" w:lineRule="auto"/>
        <w:ind w:left="359" w:hanging="359"/>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Kasus Runner-up: Malang dan Sampang (Skor 0,80 - 0,86)</w:t>
      </w:r>
    </w:p>
    <w:p w14:paraId="2A4A3912"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Rute di Malang dan Sampang merepresentasikan model ideal Hiper-Lokal. Jarak tempuh di bawah 20 KM menghasilkan emisi yang nyaris nol secara relatif. Namun, skor mereka tertahan di angka 0,80-0,86 karena volume pasokan yang relatif kecil. Tipe </w:t>
      </w:r>
      <w:r>
        <w:rPr>
          <w:rFonts w:ascii="Times New Roman" w:eastAsia="Times New Roman" w:hAnsi="Times New Roman" w:cs="Times New Roman"/>
          <w:i/>
          <w:iCs/>
          <w:sz w:val="20"/>
          <w:szCs w:val="20"/>
        </w:rPr>
        <w:t>supplier</w:t>
      </w:r>
      <w:r>
        <w:rPr>
          <w:rFonts w:ascii="Times New Roman" w:eastAsia="Times New Roman" w:hAnsi="Times New Roman" w:cs="Times New Roman"/>
          <w:sz w:val="20"/>
          <w:szCs w:val="20"/>
        </w:rPr>
        <w:t xml:space="preserve"> ini merepresentasikan Gapoktan (Gabungan Kelompok Tani) lokal. Meskipun mereka sangat ramah lingkungan, mereka memiliki risiko </w:t>
      </w:r>
      <w:r>
        <w:rPr>
          <w:rFonts w:ascii="Times New Roman" w:eastAsia="Times New Roman" w:hAnsi="Times New Roman" w:cs="Times New Roman"/>
          <w:i/>
          <w:iCs/>
          <w:sz w:val="20"/>
          <w:szCs w:val="20"/>
        </w:rPr>
        <w:t>stock-out</w:t>
      </w:r>
      <w:r>
        <w:rPr>
          <w:rFonts w:ascii="Times New Roman" w:eastAsia="Times New Roman" w:hAnsi="Times New Roman" w:cs="Times New Roman"/>
          <w:sz w:val="20"/>
          <w:szCs w:val="20"/>
        </w:rPr>
        <w:t xml:space="preserve"> jika dipaksa memenuhi permintaan mendadak dalam jumlah raksasa. Peran ideal mereka dalam ekosistem MBG adalah sebagai </w:t>
      </w:r>
      <w:r>
        <w:rPr>
          <w:rFonts w:ascii="Times New Roman" w:eastAsia="Times New Roman" w:hAnsi="Times New Roman" w:cs="Times New Roman"/>
          <w:i/>
          <w:iCs/>
          <w:sz w:val="20"/>
          <w:szCs w:val="20"/>
        </w:rPr>
        <w:t>agregator lokal</w:t>
      </w:r>
      <w:r>
        <w:rPr>
          <w:rFonts w:ascii="Times New Roman" w:eastAsia="Times New Roman" w:hAnsi="Times New Roman" w:cs="Times New Roman"/>
          <w:sz w:val="20"/>
          <w:szCs w:val="20"/>
        </w:rPr>
        <w:t xml:space="preserve"> atau penyangga (</w:t>
      </w:r>
      <w:r>
        <w:rPr>
          <w:rFonts w:ascii="Times New Roman" w:eastAsia="Times New Roman" w:hAnsi="Times New Roman" w:cs="Times New Roman"/>
          <w:i/>
          <w:iCs/>
          <w:sz w:val="20"/>
          <w:szCs w:val="20"/>
        </w:rPr>
        <w:t>buffer</w:t>
      </w:r>
      <w:r>
        <w:rPr>
          <w:rFonts w:ascii="Times New Roman" w:eastAsia="Times New Roman" w:hAnsi="Times New Roman" w:cs="Times New Roman"/>
          <w:sz w:val="20"/>
          <w:szCs w:val="20"/>
        </w:rPr>
        <w:t>) untuk desentralisasi titik distribusi.</w:t>
      </w:r>
    </w:p>
    <w:p w14:paraId="7C7C3FE0" w14:textId="77777777" w:rsidR="00DD4768" w:rsidRDefault="00000000">
      <w:pPr>
        <w:numPr>
          <w:ilvl w:val="0"/>
          <w:numId w:val="3"/>
        </w:numPr>
        <w:pBdr>
          <w:top w:val="nil"/>
          <w:left w:val="nil"/>
          <w:bottom w:val="nil"/>
          <w:right w:val="nil"/>
          <w:between w:val="nil"/>
        </w:pBdr>
        <w:spacing w:before="120" w:after="0" w:line="240" w:lineRule="auto"/>
        <w:ind w:left="359" w:hanging="359"/>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Visualisasi Peta Strategi</w:t>
      </w:r>
    </w:p>
    <w:p w14:paraId="45AB7A7F"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Untuk memperjelas analisis ini, visualisasi </w:t>
      </w:r>
      <w:r>
        <w:rPr>
          <w:rFonts w:ascii="Times New Roman" w:eastAsia="Times New Roman" w:hAnsi="Times New Roman" w:cs="Times New Roman"/>
          <w:i/>
          <w:iCs/>
          <w:sz w:val="20"/>
          <w:szCs w:val="20"/>
        </w:rPr>
        <w:t>scatter plot</w:t>
      </w:r>
      <w:r>
        <w:rPr>
          <w:rFonts w:ascii="Times New Roman" w:eastAsia="Times New Roman" w:hAnsi="Times New Roman" w:cs="Times New Roman"/>
          <w:sz w:val="20"/>
          <w:szCs w:val="20"/>
        </w:rPr>
        <w:t xml:space="preserve"> (Gambar 1) memetakan hubungan antara Jarak (Sumbu X) dan Emisi (Sumbu Y).</w:t>
      </w:r>
    </w:p>
    <w:p w14:paraId="5E87395E" w14:textId="77777777" w:rsidR="00DD4768"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B43E0C1" wp14:editId="56122A26">
            <wp:extent cx="4312577" cy="2583868"/>
            <wp:effectExtent l="0" t="0" r="0" b="0"/>
            <wp:docPr id="18776604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312577" cy="2583868"/>
                    </a:xfrm>
                    <a:prstGeom prst="rect">
                      <a:avLst/>
                    </a:prstGeom>
                    <a:ln/>
                  </pic:spPr>
                </pic:pic>
              </a:graphicData>
            </a:graphic>
          </wp:inline>
        </w:drawing>
      </w:r>
    </w:p>
    <w:p w14:paraId="04B0C62F" w14:textId="77777777" w:rsidR="00DD4768" w:rsidRDefault="00000000">
      <w:pPr>
        <w:keepNext/>
        <w:spacing w:after="0"/>
        <w:jc w:val="center"/>
        <w:rPr>
          <w:rFonts w:ascii="Times New Roman" w:eastAsia="Times New Roman" w:hAnsi="Times New Roman" w:cs="Times New Roman"/>
          <w:sz w:val="20"/>
          <w:szCs w:val="20"/>
        </w:rPr>
      </w:pPr>
      <w:r>
        <w:rPr>
          <w:noProof/>
        </w:rPr>
        <mc:AlternateContent>
          <mc:Choice Requires="wps">
            <w:drawing>
              <wp:inline distT="0" distB="0" distL="0" distR="0" wp14:anchorId="11E7CC13" wp14:editId="048CA755">
                <wp:extent cx="2882738" cy="717836"/>
                <wp:effectExtent l="0" t="0" r="0" b="0"/>
                <wp:docPr id="1877660492" name="Rectangle: Rounded Corners 1877660492"/>
                <wp:cNvGraphicFramePr/>
                <a:graphic xmlns:a="http://schemas.openxmlformats.org/drawingml/2006/main">
                  <a:graphicData uri="http://schemas.microsoft.com/office/word/2010/wordprocessingShape">
                    <wps:wsp>
                      <wps:cNvSpPr/>
                      <wps:spPr>
                        <a:xfrm>
                          <a:off x="3903775" y="3651775"/>
                          <a:ext cx="2388900" cy="578100"/>
                        </a:xfrm>
                        <a:prstGeom prst="roundRect">
                          <a:avLst>
                            <a:gd name="adj" fmla="val 16667"/>
                          </a:avLst>
                        </a:prstGeom>
                        <a:noFill/>
                        <a:ln w="12700" cap="flat" cmpd="sng">
                          <a:solidFill>
                            <a:srgbClr val="000000"/>
                          </a:solidFill>
                          <a:prstDash val="solid"/>
                          <a:miter lim="800000"/>
                          <a:headEnd type="none" w="sm" len="sm"/>
                          <a:tailEnd type="none" w="sm" len="sm"/>
                        </a:ln>
                      </wps:spPr>
                      <wps:txbx>
                        <w:txbxContent>
                          <w:p w14:paraId="5BDF3F58" w14:textId="77777777" w:rsidR="00DD4768" w:rsidRDefault="00000000">
                            <w:pPr>
                              <w:spacing w:after="0" w:line="240" w:lineRule="auto"/>
                              <w:ind w:left="850"/>
                              <w:jc w:val="center"/>
                              <w:textDirection w:val="btLr"/>
                            </w:pPr>
                            <w:r>
                              <w:rPr>
                                <w:rFonts w:ascii="Times New Roman" w:eastAsia="Times New Roman" w:hAnsi="Times New Roman" w:cs="Times New Roman"/>
                                <w:b/>
                                <w:smallCaps/>
                                <w:color w:val="000000"/>
                                <w:sz w:val="16"/>
                              </w:rPr>
                              <w:t xml:space="preserve">Gambar 1. </w:t>
                            </w:r>
                            <w:r>
                              <w:rPr>
                                <w:rFonts w:ascii="Times New Roman" w:eastAsia="Times New Roman" w:hAnsi="Times New Roman" w:cs="Times New Roman"/>
                                <w:color w:val="000000"/>
                                <w:sz w:val="16"/>
                              </w:rPr>
                              <w:t>Peta Strategi Sourcing: Trade-off antara Jarak Logistik dan Emisi Karbon</w:t>
                            </w:r>
                          </w:p>
                        </w:txbxContent>
                      </wps:txbx>
                      <wps:bodyPr spcFirstLastPara="1" wrap="square" lIns="91425" tIns="45700" rIns="91425" bIns="45700" anchor="ctr" anchorCtr="0">
                        <a:noAutofit/>
                      </wps:bodyPr>
                    </wps:wsp>
                  </a:graphicData>
                </a:graphic>
              </wp:inline>
            </w:drawing>
          </mc:Choice>
          <mc:Fallback>
            <w:pict>
              <v:roundrect w14:anchorId="11E7CC13" id="Rectangle: Rounded Corners 1877660492" o:spid="_x0000_s1028" style="width:227pt;height:5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" filled="f" strokeweight="1pt">
                <v:stroke startarrowwidth="narrow" startarrowlength="short" endarrowwidth="narrow" endarrowlength="short" joinstyle="miter"/>
                <v:textbox inset="2.53958mm,1.2694mm,2.53958mm,1.2694mm">
                  <w:txbxContent>
                    <w:p w14:paraId="5BDF3F58" w14:textId="77777777" w:rsidR="00DD4768" w:rsidRDefault="00000000">
                      <w:pPr>
                        <w:spacing w:after="0" w:line="240" w:lineRule="auto"/>
                        <w:ind w:left="850"/>
                        <w:jc w:val="center"/>
                        <w:textDirection w:val="btLr"/>
                      </w:pPr>
                      <w:r>
                        <w:rPr>
                          <w:rFonts w:ascii="Times New Roman" w:eastAsia="Times New Roman" w:hAnsi="Times New Roman" w:cs="Times New Roman"/>
                          <w:b/>
                          <w:smallCaps/>
                          <w:color w:val="000000"/>
                          <w:sz w:val="16"/>
                        </w:rPr>
                        <w:t xml:space="preserve">Gambar </w:t>
                      </w:r>
                      <w:r>
                        <w:rPr>
                          <w:rFonts w:ascii="Times New Roman" w:eastAsia="Times New Roman" w:hAnsi="Times New Roman" w:cs="Times New Roman"/>
                          <w:b/>
                          <w:smallCaps/>
                          <w:color w:val="000000"/>
                          <w:sz w:val="16"/>
                        </w:rPr>
                        <w:t xml:space="preserve">1. </w:t>
                      </w:r>
                      <w:r>
                        <w:rPr>
                          <w:rFonts w:ascii="Times New Roman" w:eastAsia="Times New Roman" w:hAnsi="Times New Roman" w:cs="Times New Roman"/>
                          <w:color w:val="000000"/>
                          <w:sz w:val="16"/>
                        </w:rPr>
                        <w:t>Peta Strategi Sourcing: Trade-off antara Jarak Logistik dan Emisi Karbon</w:t>
                      </w:r>
                    </w:p>
                  </w:txbxContent>
                </v:textbox>
                <w10:anchorlock/>
              </v:roundrect>
            </w:pict>
          </mc:Fallback>
        </mc:AlternateContent>
      </w:r>
    </w:p>
    <w:p w14:paraId="0CAFB64B" w14:textId="77777777" w:rsidR="00DD4768" w:rsidRDefault="00000000" w:rsidP="00C41A8A">
      <w:pPr>
        <w:pBdr>
          <w:top w:val="nil"/>
          <w:left w:val="nil"/>
          <w:bottom w:val="nil"/>
          <w:right w:val="nil"/>
          <w:between w:val="nil"/>
        </w:pBdr>
        <w:spacing w:before="240"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Grafik tersebut menunjukkan pola linear positif: semakin jauh jarak, semakin tinggi emisi. Namun, gradasi warna (Skor Keberlanjutan) menunjukkan bahwa titik-titik dengan ukuran lingkaran besar (Volume Besar) tetap bisa berwarna "Hijau" (Skor Tinggi) meskipun berada di jarak menengah. Ini mengonfirmasi bahwa strategi </w:t>
      </w:r>
      <w:r>
        <w:rPr>
          <w:rFonts w:ascii="Times New Roman" w:eastAsia="Times New Roman" w:hAnsi="Times New Roman" w:cs="Times New Roman"/>
          <w:i/>
          <w:iCs/>
          <w:sz w:val="20"/>
          <w:szCs w:val="20"/>
        </w:rPr>
        <w:t>sourcing</w:t>
      </w:r>
      <w:r>
        <w:rPr>
          <w:rFonts w:ascii="Times New Roman" w:eastAsia="Times New Roman" w:hAnsi="Times New Roman" w:cs="Times New Roman"/>
          <w:sz w:val="20"/>
          <w:szCs w:val="20"/>
        </w:rPr>
        <w:t xml:space="preserve"> MBG harus bersifat hibrida (</w:t>
      </w:r>
      <w:r>
        <w:rPr>
          <w:rFonts w:ascii="Times New Roman" w:eastAsia="Times New Roman" w:hAnsi="Times New Roman" w:cs="Times New Roman"/>
          <w:i/>
          <w:iCs/>
          <w:sz w:val="20"/>
          <w:szCs w:val="20"/>
        </w:rPr>
        <w:t>Mix-Sourcing Strategy</w:t>
      </w:r>
      <w:r>
        <w:rPr>
          <w:rFonts w:ascii="Times New Roman" w:eastAsia="Times New Roman" w:hAnsi="Times New Roman" w:cs="Times New Roman"/>
          <w:sz w:val="20"/>
          <w:szCs w:val="20"/>
        </w:rPr>
        <w:t>).</w:t>
      </w:r>
    </w:p>
    <w:p w14:paraId="4BF11E15" w14:textId="77777777" w:rsidR="00DD4768" w:rsidRDefault="00000000">
      <w:pPr>
        <w:pBdr>
          <w:top w:val="nil"/>
          <w:left w:val="nil"/>
          <w:bottom w:val="nil"/>
          <w:right w:val="nil"/>
          <w:between w:val="nil"/>
        </w:pBdr>
        <w:spacing w:before="150" w:after="60" w:line="240" w:lineRule="auto"/>
        <w:ind w:left="288" w:hanging="288"/>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3.4 </w:t>
      </w:r>
      <w:r>
        <w:rPr>
          <w:rFonts w:ascii="Times New Roman" w:eastAsia="Times New Roman" w:hAnsi="Times New Roman" w:cs="Times New Roman"/>
          <w:i/>
          <w:iCs/>
          <w:sz w:val="20"/>
          <w:szCs w:val="20"/>
        </w:rPr>
        <w:t>Analisis Implikasi Manajerial Berbasis PESTLE</w:t>
      </w:r>
    </w:p>
    <w:p w14:paraId="7C1BE65D" w14:textId="77777777" w:rsidR="00DD4768" w:rsidRDefault="00000000">
      <w:pPr>
        <w:pBdr>
          <w:top w:val="nil"/>
          <w:left w:val="nil"/>
          <w:bottom w:val="nil"/>
          <w:right w:val="nil"/>
          <w:between w:val="nil"/>
        </w:pBd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Temuan data di atas memiliki implikasi luas jika ditinjau melalui kerangka kerja PESTLE:</w:t>
      </w:r>
    </w:p>
    <w:p w14:paraId="55617CB6" w14:textId="77777777"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Political (Politik): Temuan rata-rata jarak 297 KM menunjukkan ketergantungan antar-daerah yang tinggi. Pemerintah perlu memperkuat kebijakan Ketahanan Pangan Daerah agar setiap kabupaten mampu memproduksi kebutuhan dasarnya sendiri, mengurangi ketergantungan logistik lintas provinsi yang rentan isu politis otonomi daerah.</w:t>
      </w:r>
    </w:p>
    <w:p w14:paraId="17FA46EF" w14:textId="6875B5AD"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Economic (Ekonomi): Penggunaan supplier volume besar (seperti kasus Pelalawan) mendukung efisiensi anggaran melalui Economies of Scale. Biaya per unit menjadi lebih murah. Namun, diversifikasi ke supplier lokal (kasus Malang) diperlukan untuk menggerakkan ekonomi kerakyatan sesuai tujuan program </w:t>
      </w:r>
      <w:sdt>
        <w:sdtPr>
          <w:rPr>
            <w:rFonts w:ascii="Times New Roman" w:eastAsia="Times New Roman" w:hAnsi="Times New Roman" w:cs="Times New Roman"/>
            <w:color w:val="000000"/>
            <w:sz w:val="20"/>
            <w:szCs w:val="20"/>
          </w:rPr>
          <w:tag w:val="MENDELEY_CITATION_v3_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"/>
          <w:id w:val="1614856916"/>
          <w:placeholder>
            <w:docPart w:val="DefaultPlaceholder_-1854013440"/>
          </w:placeholder>
        </w:sdtPr>
        <w:sdtContent>
          <w:r w:rsidR="00BB30C9" w:rsidRPr="00BB30C9">
            <w:rPr>
              <w:rFonts w:ascii="Times New Roman" w:eastAsia="Times New Roman" w:hAnsi="Times New Roman" w:cs="Times New Roman"/>
              <w:color w:val="000000"/>
              <w:sz w:val="20"/>
              <w:szCs w:val="20"/>
            </w:rPr>
            <w:t>[2]</w:t>
          </w:r>
        </w:sdtContent>
      </w:sdt>
      <w:r>
        <w:rPr>
          <w:rFonts w:ascii="Times New Roman" w:eastAsia="Times New Roman" w:hAnsi="Times New Roman" w:cs="Times New Roman"/>
          <w:sz w:val="20"/>
          <w:szCs w:val="20"/>
        </w:rPr>
        <w:t>.</w:t>
      </w:r>
    </w:p>
    <w:p w14:paraId="777FF91E" w14:textId="77777777"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Social (Sosial): Prioritas pada supplier lokal (jarak pendek) berdampak langsung pada kesejahteraan petani kecil. Sistem scoring dapat dimodifikasi untuk memberikan "poin bonus" bagi Gapoktan yang memberdayakan petani marginal, menciptakan dampak sosial positif (Social Impact).</w:t>
      </w:r>
    </w:p>
    <w:p w14:paraId="0384D9E1" w14:textId="6713948D"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Technological (Teknologi): Tingginya emisi pada rute jauh menuntut adopsi teknologi. Penggunaan truk listrik (EV Logistics) atau optimalisasi rute berbasis AI (Route Optimization) menjadi imperatif teknologi untuk rute &gt;100 KM guna menekan emisi </w:t>
      </w:r>
      <w:sdt>
        <w:sdtPr>
          <w:rPr>
            <w:rFonts w:ascii="Times New Roman" w:eastAsia="Times New Roman" w:hAnsi="Times New Roman" w:cs="Times New Roman"/>
            <w:color w:val="000000"/>
            <w:sz w:val="20"/>
            <w:szCs w:val="20"/>
          </w:rPr>
          <w:tag w:val="MENDELEY_CITATION_v3_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"/>
          <w:id w:val="-925188415"/>
          <w:placeholder>
            <w:docPart w:val="DefaultPlaceholder_-1854013440"/>
          </w:placeholder>
        </w:sdtPr>
        <w:sdtContent>
          <w:r w:rsidR="00BB30C9" w:rsidRPr="00BB30C9">
            <w:rPr>
              <w:rFonts w:ascii="Times New Roman" w:eastAsia="Times New Roman" w:hAnsi="Times New Roman" w:cs="Times New Roman"/>
              <w:color w:val="000000"/>
              <w:sz w:val="20"/>
              <w:szCs w:val="20"/>
            </w:rPr>
            <w:t>[13]</w:t>
          </w:r>
        </w:sdtContent>
      </w:sdt>
      <w:r>
        <w:rPr>
          <w:rFonts w:ascii="Times New Roman" w:eastAsia="Times New Roman" w:hAnsi="Times New Roman" w:cs="Times New Roman"/>
          <w:sz w:val="20"/>
          <w:szCs w:val="20"/>
        </w:rPr>
        <w:t>.</w:t>
      </w:r>
    </w:p>
    <w:p w14:paraId="1AA74875" w14:textId="24A88E3C"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Legal (Hukum): Kepatuhan terhadap SNI </w:t>
      </w:r>
      <w:sdt>
        <w:sdtPr>
          <w:rPr>
            <w:rFonts w:ascii="Times New Roman" w:eastAsia="Times New Roman" w:hAnsi="Times New Roman" w:cs="Times New Roman"/>
            <w:color w:val="000000"/>
            <w:sz w:val="20"/>
            <w:szCs w:val="20"/>
          </w:rPr>
          <w:tag w:val="MENDELEY_CITATION_v3_eyJjaXRhdGlvbklEIjoiTUVOREVMRVlfQ0lUQVRJT05fNmFhMDQyY2ItMjQxZS00ZDlkLWEzYzYtZjU0OGRhZmUyMjJh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
          <w:id w:val="-2137559283"/>
          <w:placeholder>
            <w:docPart w:val="DefaultPlaceholder_-1854013440"/>
          </w:placeholder>
        </w:sdtPr>
        <w:sdtContent>
          <w:r w:rsidR="00BB30C9" w:rsidRPr="00BB30C9">
            <w:rPr>
              <w:rFonts w:ascii="Times New Roman" w:eastAsia="Times New Roman" w:hAnsi="Times New Roman" w:cs="Times New Roman"/>
              <w:color w:val="000000"/>
              <w:sz w:val="20"/>
              <w:szCs w:val="20"/>
            </w:rPr>
            <w:t>[1]</w:t>
          </w:r>
        </w:sdtContent>
      </w:sdt>
      <w:r>
        <w:rPr>
          <w:rFonts w:ascii="Times New Roman" w:eastAsia="Times New Roman" w:hAnsi="Times New Roman" w:cs="Times New Roman"/>
          <w:sz w:val="20"/>
          <w:szCs w:val="20"/>
        </w:rPr>
        <w:t xml:space="preserve"> menjadi hard constraint. Supplier jarak jauh wajib memiliki sertifikasi Good Distribution Practice (GDP) untuk menjamin mutu pangan tidak rusak selama perjalanan 297 KM tersebut, sesuai amanat UU Pangan </w:t>
      </w:r>
      <w:sdt>
        <w:sdtPr>
          <w:rPr>
            <w:rFonts w:ascii="Times New Roman" w:eastAsia="Times New Roman" w:hAnsi="Times New Roman" w:cs="Times New Roman"/>
            <w:color w:val="000000"/>
            <w:sz w:val="20"/>
            <w:szCs w:val="20"/>
          </w:rPr>
          <w:tag w:val="MENDELEY_CITATION_v3_eyJjaXRhdGlvbklEIjoiTUVOREVMRVlfQ0lUQVRJT05fMjY1ZTA3MGUtYzk3Yi00ODk0LTkyMDYtMTU3OTY1NDRiMzNm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
          <w:id w:val="-1982536642"/>
          <w:placeholder>
            <w:docPart w:val="DefaultPlaceholder_-1854013440"/>
          </w:placeholder>
        </w:sdtPr>
        <w:sdtContent>
          <w:r w:rsidR="00BB30C9" w:rsidRPr="00BB30C9">
            <w:rPr>
              <w:rFonts w:ascii="Times New Roman" w:eastAsia="Times New Roman" w:hAnsi="Times New Roman" w:cs="Times New Roman"/>
              <w:color w:val="000000"/>
              <w:sz w:val="20"/>
              <w:szCs w:val="20"/>
            </w:rPr>
            <w:t>[1]</w:t>
          </w:r>
        </w:sdtContent>
      </w:sdt>
      <w:r>
        <w:rPr>
          <w:rFonts w:ascii="Times New Roman" w:eastAsia="Times New Roman" w:hAnsi="Times New Roman" w:cs="Times New Roman"/>
          <w:sz w:val="20"/>
          <w:szCs w:val="20"/>
        </w:rPr>
        <w:t>.</w:t>
      </w:r>
    </w:p>
    <w:p w14:paraId="1E93816E" w14:textId="77777777" w:rsidR="00DD4768"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Environmental (Lingkungan): Data emisi 112 ton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menjadi dasar bagi pemerintah untuk menetapkan target Net Zero dalam program MBG. Penerapan pajak karbon atau insentif hijau bagi supplier rendah emisi dapat dipertimbangkan.</w:t>
      </w:r>
    </w:p>
    <w:p w14:paraId="1BD91308" w14:textId="77777777" w:rsidR="00DD4768" w:rsidRDefault="00000000">
      <w:pPr>
        <w:numPr>
          <w:ilvl w:val="0"/>
          <w:numId w:val="7"/>
        </w:numPr>
        <w:pBdr>
          <w:top w:val="nil"/>
          <w:left w:val="nil"/>
          <w:bottom w:val="nil"/>
          <w:right w:val="nil"/>
          <w:between w:val="nil"/>
        </w:pBdr>
        <w:spacing w:before="240" w:after="80" w:line="240" w:lineRule="auto"/>
        <w:ind w:left="289" w:hanging="289"/>
        <w:jc w:val="center"/>
        <w:rPr>
          <w:rFonts w:ascii="Times New Roman" w:eastAsia="Times New Roman" w:hAnsi="Times New Roman" w:cs="Times New Roman"/>
          <w:smallCaps/>
          <w:color w:val="000000"/>
          <w:sz w:val="20"/>
          <w:szCs w:val="20"/>
        </w:rPr>
      </w:pPr>
      <w:r>
        <w:rPr>
          <w:rFonts w:ascii="Times New Roman" w:eastAsia="Times New Roman" w:hAnsi="Times New Roman" w:cs="Times New Roman"/>
          <w:smallCaps/>
          <w:color w:val="000000"/>
          <w:sz w:val="20"/>
          <w:szCs w:val="20"/>
        </w:rPr>
        <w:tab/>
      </w:r>
      <w:r>
        <w:rPr>
          <w:rFonts w:ascii="Times New Roman" w:eastAsia="Times New Roman" w:hAnsi="Times New Roman" w:cs="Times New Roman"/>
          <w:b/>
          <w:bCs/>
          <w:smallCaps/>
          <w:color w:val="000000"/>
          <w:sz w:val="20"/>
          <w:szCs w:val="20"/>
        </w:rPr>
        <w:t>Kesimpulan</w:t>
      </w:r>
    </w:p>
    <w:p w14:paraId="71BBEAFA" w14:textId="77777777" w:rsidR="00DD4768" w:rsidRDefault="00000000">
      <w:pPr>
        <w:spacing w:before="150" w:after="60" w:line="240" w:lineRule="auto"/>
        <w:ind w:left="288"/>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4.1. Simpulan Penelitian</w:t>
      </w:r>
    </w:p>
    <w:p w14:paraId="51326730" w14:textId="77777777" w:rsidR="00DD4768" w:rsidRDefault="00000000">
      <w:pP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Penelitian ini berhasil membuktikan bahwa penerapan Advanced Analytics pada data logistik program MBG dapat memberikan wawasan krusial yang tidak terlihat dalam metode pengadaan konvensional. Tiga simpulan utama yang dihasilkan adalah:</w:t>
      </w:r>
    </w:p>
    <w:p w14:paraId="15AD8BB5" w14:textId="77777777" w:rsidR="00DD4768" w:rsidRDefault="00000000">
      <w:pPr>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Visibilitas Dampak Lingkungan: Aktivitas logistik MBG memiliki jejak karbon yang signifikan (112,11 ton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CO</m:t>
            </m:r>
          </m:e>
          <m:sub>
            <m:r>
              <w:rPr>
                <w:rFonts w:ascii="Times New Roman" w:eastAsia="Times New Roman" w:hAnsi="Times New Roman" w:cs="Times New Roman"/>
                <w:sz w:val="20"/>
                <w:szCs w:val="20"/>
              </w:rPr>
              <m:t>2</m:t>
            </m:r>
          </m:sub>
        </m:sSub>
      </m:oMath>
      <w:r>
        <w:rPr>
          <w:rFonts w:ascii="Times New Roman" w:eastAsia="Times New Roman" w:hAnsi="Times New Roman" w:cs="Times New Roman"/>
          <w:sz w:val="20"/>
          <w:szCs w:val="20"/>
        </w:rPr>
        <w:t xml:space="preserve"> pada sampel studi). Tanpa intervensi, program ini berisiko membebani lingkungan.</w:t>
      </w:r>
    </w:p>
    <w:p w14:paraId="3DD56E7A" w14:textId="77777777" w:rsidR="00DD4768" w:rsidRDefault="00000000">
      <w:pPr>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Efektivitas Model Scoring: Algoritma Weighted Scoring Model terbukti efektif menyeimbangkan trade-off antara efisiensi jarak dan keamanan volume. Supplier terbaik bukanlah yang terdekat secara mutlak, melainkan yang paling optimal secara kapasitas dan jarak.</w:t>
      </w:r>
    </w:p>
    <w:p w14:paraId="3FFC225A" w14:textId="77777777" w:rsidR="00DD4768" w:rsidRDefault="00000000">
      <w:pPr>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Pentingnya Diversifikasi: Struktur rantai pasok yang ideal untuk MBG adalah kombinasi antara Supplier Strategis (Volume Besar, Jarak Menengah) untuk kestabilan stok utama, dan Supplier Lokal (Volume Kecil, Jarak Pendek) untuk keberlanjutan lingkungan dan ekonomi rakyat.</w:t>
      </w:r>
    </w:p>
    <w:p w14:paraId="46BE9CFA" w14:textId="77777777" w:rsidR="00DD4768" w:rsidRDefault="00000000">
      <w:pPr>
        <w:spacing w:before="150" w:after="60" w:line="240" w:lineRule="auto"/>
        <w:ind w:left="288"/>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4.2. Rekomendasi Kebijakan</w:t>
      </w:r>
    </w:p>
    <w:p w14:paraId="19990B33" w14:textId="77777777" w:rsidR="00DD4768" w:rsidRDefault="00000000">
      <w:pP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Berdasarkan temuan ini, direkomendasikan kepada Badan Gizi Nasional dan pemangku kepentingan terkait untuk:</w:t>
      </w:r>
    </w:p>
    <w:p w14:paraId="1F4F57FB" w14:textId="77777777" w:rsidR="00DD4768" w:rsidRDefault="00000000">
      <w:pPr>
        <w:numPr>
          <w:ilvl w:val="0"/>
          <w:numId w:val="9"/>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Mengadopsi sistem penilaian kinerja vendor berbasis data yang memasukkan parameter emisi karbon sebagai kriteria seleksi, bukan hanya harga.</w:t>
      </w:r>
    </w:p>
    <w:p w14:paraId="41EEF15B" w14:textId="77777777" w:rsidR="00DD4768" w:rsidRDefault="00000000">
      <w:pPr>
        <w:numPr>
          <w:ilvl w:val="0"/>
          <w:numId w:val="9"/>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Memprioritaskan kontrak jangka panjang dengan supplier yang memiliki Skor Sustainability &gt; 0,80.</w:t>
      </w:r>
    </w:p>
    <w:p w14:paraId="06ADFA3E" w14:textId="77777777" w:rsidR="00DD4768" w:rsidRDefault="00000000">
      <w:pPr>
        <w:numPr>
          <w:ilvl w:val="0"/>
          <w:numId w:val="9"/>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Melakukan investasi pada infrastruktur gudang penyangga (hub) di tingkat kabupaten untuk menurunkan rata-rata jarak tempuh nasional dari 297 KM menjadi di bawah 100 KM.</w:t>
      </w:r>
    </w:p>
    <w:p w14:paraId="5B65C941" w14:textId="77777777" w:rsidR="00DD4768" w:rsidRDefault="00000000">
      <w:pPr>
        <w:spacing w:before="150" w:after="60" w:line="240" w:lineRule="auto"/>
        <w:ind w:left="288"/>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4.3. Keterbatasan dan Saran Penelitian Lanjut</w:t>
      </w:r>
    </w:p>
    <w:p w14:paraId="6AE6AD4F" w14:textId="77777777" w:rsidR="00DD4768" w:rsidRDefault="00000000">
      <w:pPr>
        <w:spacing w:after="0" w:line="240" w:lineRule="auto"/>
        <w:ind w:firstLine="21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Penelitian ini terbatas pada komoditas Beras dan Kedelai. Penelitian selanjutnya disarankan untuk mencakup komoditas rantai dingin (</w:t>
      </w:r>
      <w:r>
        <w:rPr>
          <w:rFonts w:ascii="Times New Roman" w:eastAsia="Times New Roman" w:hAnsi="Times New Roman" w:cs="Times New Roman"/>
          <w:i/>
          <w:iCs/>
          <w:sz w:val="20"/>
          <w:szCs w:val="20"/>
        </w:rPr>
        <w:t>cold chain</w:t>
      </w:r>
      <w:r>
        <w:rPr>
          <w:rFonts w:ascii="Times New Roman" w:eastAsia="Times New Roman" w:hAnsi="Times New Roman" w:cs="Times New Roman"/>
          <w:sz w:val="20"/>
          <w:szCs w:val="20"/>
        </w:rPr>
        <w:t>) seperti daging dan susu yang memiliki faktor emisi energi pendingin lebih tinggi. Selain itu, integrasi data real-time dari sensor IoT pada armada truk dapat meningkatkan akurasi perhitungan emisi di masa depan.</w:t>
      </w:r>
    </w:p>
    <w:p w14:paraId="609A475B" w14:textId="77777777" w:rsidR="00DD4768" w:rsidRDefault="00000000">
      <w:pPr>
        <w:pStyle w:val="Heading1"/>
        <w:tabs>
          <w:tab w:val="left" w:pos="284"/>
        </w:tabs>
        <w:rPr>
          <w:rFonts w:ascii="Times New Roman" w:eastAsia="Times New Roman" w:hAnsi="Times New Roman" w:cs="Times New Roman"/>
          <w:b w:val="0"/>
          <w:bCs w:val="0"/>
        </w:rPr>
      </w:pPr>
      <w:r>
        <w:rPr>
          <w:rFonts w:ascii="Times New Roman" w:eastAsia="Times New Roman" w:hAnsi="Times New Roman" w:cs="Times New Roman"/>
          <w:sz w:val="20"/>
          <w:szCs w:val="20"/>
        </w:rPr>
        <w:t>Referensi</w:t>
      </w:r>
    </w:p>
    <w:sdt>
      <w:sdtPr>
        <w:rPr>
          <w:rFonts w:ascii="Times New Roman" w:eastAsia="Times New Roman" w:hAnsi="Times New Roman" w:cs="Times New Roman"/>
          <w:color w:val="000000"/>
          <w:sz w:val="20"/>
          <w:szCs w:val="20"/>
        </w:rPr>
        <w:tag w:val="MENDELEY_BIBLIOGRAPHY"/>
        <w:id w:val="-2065016202"/>
        <w:placeholder>
          <w:docPart w:val="DefaultPlaceholder_-1854013440"/>
        </w:placeholder>
      </w:sdtPr>
      <w:sdtContent>
        <w:p w14:paraId="3526ADF1" w14:textId="77777777" w:rsidR="00BB30C9" w:rsidRPr="00BB30C9" w:rsidRDefault="00BB30C9">
          <w:pPr>
            <w:autoSpaceDE w:val="0"/>
            <w:autoSpaceDN w:val="0"/>
            <w:ind w:hanging="640"/>
            <w:divId w:val="1321737170"/>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[1]</w:t>
          </w:r>
          <w:r w:rsidRPr="00BB30C9">
            <w:rPr>
              <w:rFonts w:ascii="Times New Roman" w:eastAsia="Times New Roman" w:hAnsi="Times New Roman" w:cs="Times New Roman"/>
              <w:color w:val="000000"/>
              <w:sz w:val="20"/>
            </w:rPr>
            <w:tab/>
            <w:t>“Standar Gizi dan Makanan Program Makan Bergizi Gratis,” 2024.</w:t>
          </w:r>
        </w:p>
        <w:p w14:paraId="27EBBF9C" w14:textId="77777777" w:rsidR="00BB30C9" w:rsidRPr="00BB30C9" w:rsidRDefault="00BB30C9">
          <w:pPr>
            <w:autoSpaceDE w:val="0"/>
            <w:autoSpaceDN w:val="0"/>
            <w:ind w:hanging="640"/>
            <w:divId w:val="858860347"/>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[2]</w:t>
          </w:r>
          <w:r w:rsidRPr="00BB30C9">
            <w:rPr>
              <w:rFonts w:ascii="Times New Roman" w:eastAsia="Times New Roman" w:hAnsi="Times New Roman" w:cs="Times New Roman"/>
              <w:color w:val="000000"/>
              <w:sz w:val="20"/>
            </w:rPr>
            <w:tab/>
            <w:t>“Nutrition guidelines and standards for school meals: A report from 33 low and middle-income countries,” 2019.</w:t>
          </w:r>
        </w:p>
        <w:p w14:paraId="1A227AF9" w14:textId="77777777" w:rsidR="00BB30C9" w:rsidRPr="00BB30C9" w:rsidRDefault="00BB30C9">
          <w:pPr>
            <w:autoSpaceDE w:val="0"/>
            <w:autoSpaceDN w:val="0"/>
            <w:ind w:hanging="640"/>
            <w:divId w:val="1400521603"/>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[3]</w:t>
          </w:r>
          <w:r w:rsidRPr="00BB30C9">
            <w:rPr>
              <w:rFonts w:ascii="Times New Roman" w:eastAsia="Times New Roman" w:hAnsi="Times New Roman" w:cs="Times New Roman"/>
              <w:color w:val="000000"/>
              <w:sz w:val="20"/>
            </w:rPr>
            <w:tab/>
            <w:t xml:space="preserve">A. Rejeb, J. G. Keogh, and K. Rejeb, “Big data in the food supply chain: a literature review,” </w:t>
          </w:r>
          <w:r w:rsidRPr="00BB30C9">
            <w:rPr>
              <w:rFonts w:ascii="Times New Roman" w:eastAsia="Times New Roman" w:hAnsi="Times New Roman" w:cs="Times New Roman"/>
              <w:i/>
              <w:iCs/>
              <w:color w:val="000000"/>
              <w:sz w:val="20"/>
            </w:rPr>
            <w:t>Journal of Data, Information and Management</w:t>
          </w:r>
          <w:r w:rsidRPr="00BB30C9">
            <w:rPr>
              <w:rFonts w:ascii="Times New Roman" w:eastAsia="Times New Roman" w:hAnsi="Times New Roman" w:cs="Times New Roman"/>
              <w:color w:val="000000"/>
              <w:sz w:val="20"/>
            </w:rPr>
            <w:t>, vol. 4, no. 1, pp. 33–47, Mar. 2022, doi: 10.1007/s42488-021-00064-0.</w:t>
          </w:r>
        </w:p>
        <w:p w14:paraId="37D457E2" w14:textId="77777777" w:rsidR="00BB30C9" w:rsidRPr="00BB30C9" w:rsidRDefault="00BB30C9">
          <w:pPr>
            <w:autoSpaceDE w:val="0"/>
            <w:autoSpaceDN w:val="0"/>
            <w:ind w:hanging="640"/>
            <w:divId w:val="631208601"/>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[4]</w:t>
          </w:r>
          <w:r w:rsidRPr="00BB30C9">
            <w:rPr>
              <w:rFonts w:ascii="Times New Roman" w:eastAsia="Times New Roman" w:hAnsi="Times New Roman" w:cs="Times New Roman"/>
              <w:color w:val="000000"/>
              <w:sz w:val="20"/>
            </w:rPr>
            <w:tab/>
            <w:t>“UNDANG-UNDANG REPUBLIK INDONESIA NOMOR 18 TAHUN 2012,” 2012.</w:t>
          </w:r>
        </w:p>
        <w:p w14:paraId="683C4022" w14:textId="77777777" w:rsidR="00BB30C9" w:rsidRPr="00BB30C9" w:rsidRDefault="00BB30C9">
          <w:pPr>
            <w:autoSpaceDE w:val="0"/>
            <w:autoSpaceDN w:val="0"/>
            <w:ind w:hanging="640"/>
            <w:divId w:val="1849519263"/>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[5]</w:t>
          </w:r>
          <w:r w:rsidRPr="00BB30C9">
            <w:rPr>
              <w:rFonts w:ascii="Times New Roman" w:eastAsia="Times New Roman" w:hAnsi="Times New Roman" w:cs="Times New Roman"/>
              <w:color w:val="000000"/>
              <w:sz w:val="20"/>
            </w:rPr>
            <w:tab/>
            <w:t xml:space="preserve">J. Elkington, “Partnerships from cannibals with forks: The triple bottom line of 21st-century business,” </w:t>
          </w:r>
          <w:r w:rsidRPr="00BB30C9">
            <w:rPr>
              <w:rFonts w:ascii="Times New Roman" w:eastAsia="Times New Roman" w:hAnsi="Times New Roman" w:cs="Times New Roman"/>
              <w:i/>
              <w:iCs/>
              <w:color w:val="000000"/>
              <w:sz w:val="20"/>
            </w:rPr>
            <w:t>Environmental Quality Management</w:t>
          </w:r>
          <w:r w:rsidRPr="00BB30C9">
            <w:rPr>
              <w:rFonts w:ascii="Times New Roman" w:eastAsia="Times New Roman" w:hAnsi="Times New Roman" w:cs="Times New Roman"/>
              <w:color w:val="000000"/>
              <w:sz w:val="20"/>
            </w:rPr>
            <w:t>, vol. 8, no. 1, pp. 37–51, 1998, doi: 10.1002/tqem.3310080106.</w:t>
          </w:r>
        </w:p>
        <w:p w14:paraId="6A7539AE" w14:textId="77777777" w:rsidR="00BB30C9" w:rsidRPr="00BB30C9" w:rsidRDefault="00BB30C9">
          <w:pPr>
            <w:autoSpaceDE w:val="0"/>
            <w:autoSpaceDN w:val="0"/>
            <w:ind w:hanging="640"/>
            <w:divId w:val="90707303"/>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[6]</w:t>
          </w:r>
          <w:r w:rsidRPr="00BB30C9">
            <w:rPr>
              <w:rFonts w:ascii="Times New Roman" w:eastAsia="Times New Roman" w:hAnsi="Times New Roman" w:cs="Times New Roman"/>
              <w:color w:val="000000"/>
              <w:sz w:val="20"/>
            </w:rPr>
            <w:tab/>
            <w:t>M. Sharma, S. Luthra, S. Joshi, and A. Kumar, “Developing a framework for enhancing survivability of sustainable supply chains during and post COVID-19 pandemic,” 2022.</w:t>
          </w:r>
        </w:p>
        <w:p w14:paraId="2E32C68B" w14:textId="77777777" w:rsidR="00BB30C9" w:rsidRPr="00BB30C9" w:rsidRDefault="00BB30C9">
          <w:pPr>
            <w:autoSpaceDE w:val="0"/>
            <w:autoSpaceDN w:val="0"/>
            <w:ind w:hanging="640"/>
            <w:divId w:val="2025402391"/>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[7]</w:t>
          </w:r>
          <w:r w:rsidRPr="00BB30C9">
            <w:rPr>
              <w:rFonts w:ascii="Times New Roman" w:eastAsia="Times New Roman" w:hAnsi="Times New Roman" w:cs="Times New Roman"/>
              <w:color w:val="000000"/>
              <w:sz w:val="20"/>
            </w:rPr>
            <w:tab/>
            <w:t xml:space="preserve">D. Ivanov, “Viable supply chain model: integrating agility, resilience and sustainability perspectives—lessons from and thinking beyond the COVID-19 pandemic,” </w:t>
          </w:r>
          <w:r w:rsidRPr="00BB30C9">
            <w:rPr>
              <w:rFonts w:ascii="Times New Roman" w:eastAsia="Times New Roman" w:hAnsi="Times New Roman" w:cs="Times New Roman"/>
              <w:i/>
              <w:iCs/>
              <w:color w:val="000000"/>
              <w:sz w:val="20"/>
            </w:rPr>
            <w:t>Ann Oper Res</w:t>
          </w:r>
          <w:r w:rsidRPr="00BB30C9">
            <w:rPr>
              <w:rFonts w:ascii="Times New Roman" w:eastAsia="Times New Roman" w:hAnsi="Times New Roman" w:cs="Times New Roman"/>
              <w:color w:val="000000"/>
              <w:sz w:val="20"/>
            </w:rPr>
            <w:t>, vol. 319, no. 1, pp. 1411–1431, Dec. 2022, doi: 10.1007/s10479-020-03640-6.</w:t>
          </w:r>
        </w:p>
        <w:p w14:paraId="6CF77F69" w14:textId="77777777" w:rsidR="00BB30C9" w:rsidRPr="00BB30C9" w:rsidRDefault="00BB30C9">
          <w:pPr>
            <w:autoSpaceDE w:val="0"/>
            <w:autoSpaceDN w:val="0"/>
            <w:ind w:hanging="640"/>
            <w:divId w:val="1715735199"/>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[8]</w:t>
          </w:r>
          <w:r w:rsidRPr="00BB30C9">
            <w:rPr>
              <w:rFonts w:ascii="Times New Roman" w:eastAsia="Times New Roman" w:hAnsi="Times New Roman" w:cs="Times New Roman"/>
              <w:color w:val="000000"/>
              <w:sz w:val="20"/>
            </w:rPr>
            <w:tab/>
            <w:t>S. K. Srivastava, “Green supply-chain management: A state-of-the-art literature review,” Mar. 2007. doi: 10.1111/j.1468-2370.2007.00202.x.</w:t>
          </w:r>
        </w:p>
        <w:p w14:paraId="6DDFD2D5" w14:textId="77777777" w:rsidR="00BB30C9" w:rsidRPr="00BB30C9" w:rsidRDefault="00BB30C9">
          <w:pPr>
            <w:autoSpaceDE w:val="0"/>
            <w:autoSpaceDN w:val="0"/>
            <w:ind w:hanging="640"/>
            <w:divId w:val="2023316729"/>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[9]</w:t>
          </w:r>
          <w:r w:rsidRPr="00BB30C9">
            <w:rPr>
              <w:rFonts w:ascii="Times New Roman" w:eastAsia="Times New Roman" w:hAnsi="Times New Roman" w:cs="Times New Roman"/>
              <w:color w:val="000000"/>
              <w:sz w:val="20"/>
            </w:rPr>
            <w:tab/>
            <w:t xml:space="preserve">A. C. . McKinnon, </w:t>
          </w:r>
          <w:r w:rsidRPr="00BB30C9">
            <w:rPr>
              <w:rFonts w:ascii="Times New Roman" w:eastAsia="Times New Roman" w:hAnsi="Times New Roman" w:cs="Times New Roman"/>
              <w:i/>
              <w:iCs/>
              <w:color w:val="000000"/>
              <w:sz w:val="20"/>
            </w:rPr>
            <w:t>Green logistics : improving the environmental sustainability of logistics</w:t>
          </w:r>
          <w:r w:rsidRPr="00BB30C9">
            <w:rPr>
              <w:rFonts w:ascii="Times New Roman" w:eastAsia="Times New Roman" w:hAnsi="Times New Roman" w:cs="Times New Roman"/>
              <w:color w:val="000000"/>
              <w:sz w:val="20"/>
            </w:rPr>
            <w:t>. Kogan Page, 2010.</w:t>
          </w:r>
        </w:p>
        <w:p w14:paraId="3EA8209A" w14:textId="77777777" w:rsidR="00BB30C9" w:rsidRPr="00BB30C9" w:rsidRDefault="00BB30C9">
          <w:pPr>
            <w:autoSpaceDE w:val="0"/>
            <w:autoSpaceDN w:val="0"/>
            <w:ind w:hanging="640"/>
            <w:divId w:val="1717729470"/>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[10]</w:t>
          </w:r>
          <w:r w:rsidRPr="00BB30C9">
            <w:rPr>
              <w:rFonts w:ascii="Times New Roman" w:eastAsia="Times New Roman" w:hAnsi="Times New Roman" w:cs="Times New Roman"/>
              <w:color w:val="000000"/>
              <w:sz w:val="20"/>
            </w:rPr>
            <w:tab/>
          </w:r>
          <w:r w:rsidRPr="00BB30C9">
            <w:rPr>
              <w:rFonts w:ascii="Times New Roman" w:eastAsia="Times New Roman" w:hAnsi="Times New Roman" w:cs="Times New Roman"/>
              <w:i/>
              <w:iCs/>
              <w:color w:val="000000"/>
              <w:sz w:val="20"/>
            </w:rPr>
            <w:t>The greenhouse gas protocol : the GHG protocol for project accounting</w:t>
          </w:r>
          <w:r w:rsidRPr="00BB30C9">
            <w:rPr>
              <w:rFonts w:ascii="Times New Roman" w:eastAsia="Times New Roman" w:hAnsi="Times New Roman" w:cs="Times New Roman"/>
              <w:color w:val="000000"/>
              <w:sz w:val="20"/>
            </w:rPr>
            <w:t>. World Business Council for Sustainable Development ; World Resources Institute, 2005.</w:t>
          </w:r>
        </w:p>
        <w:p w14:paraId="52F78B16" w14:textId="77777777" w:rsidR="00BB30C9" w:rsidRPr="00BB30C9" w:rsidRDefault="00BB30C9">
          <w:pPr>
            <w:autoSpaceDE w:val="0"/>
            <w:autoSpaceDN w:val="0"/>
            <w:ind w:hanging="640"/>
            <w:divId w:val="124395542"/>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[11]</w:t>
          </w:r>
          <w:r w:rsidRPr="00BB30C9">
            <w:rPr>
              <w:rFonts w:ascii="Times New Roman" w:eastAsia="Times New Roman" w:hAnsi="Times New Roman" w:cs="Times New Roman"/>
              <w:color w:val="000000"/>
              <w:sz w:val="20"/>
            </w:rPr>
            <w:tab/>
            <w:t xml:space="preserve">K. Govindan, S. Rajendran, J. Sarkis, and P. Murugesan, “Multi criteria decision making approaches for green supplier evaluation and selection: A literature review,” </w:t>
          </w:r>
          <w:r w:rsidRPr="00BB30C9">
            <w:rPr>
              <w:rFonts w:ascii="Times New Roman" w:eastAsia="Times New Roman" w:hAnsi="Times New Roman" w:cs="Times New Roman"/>
              <w:i/>
              <w:iCs/>
              <w:color w:val="000000"/>
              <w:sz w:val="20"/>
            </w:rPr>
            <w:t>J Clean Prod</w:t>
          </w:r>
          <w:r w:rsidRPr="00BB30C9">
            <w:rPr>
              <w:rFonts w:ascii="Times New Roman" w:eastAsia="Times New Roman" w:hAnsi="Times New Roman" w:cs="Times New Roman"/>
              <w:color w:val="000000"/>
              <w:sz w:val="20"/>
            </w:rPr>
            <w:t>, vol. 98, pp. 66–83, Jul. 2015, doi: 10.1016/j.jclepro.2013.06.046.</w:t>
          </w:r>
        </w:p>
        <w:p w14:paraId="7D9FAE58" w14:textId="77777777" w:rsidR="00BB30C9" w:rsidRPr="00BB30C9" w:rsidRDefault="00BB30C9">
          <w:pPr>
            <w:autoSpaceDE w:val="0"/>
            <w:autoSpaceDN w:val="0"/>
            <w:ind w:hanging="640"/>
            <w:divId w:val="920721729"/>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lastRenderedPageBreak/>
            <w:t>[12]</w:t>
          </w:r>
          <w:r w:rsidRPr="00BB30C9">
            <w:rPr>
              <w:rFonts w:ascii="Times New Roman" w:eastAsia="Times New Roman" w:hAnsi="Times New Roman" w:cs="Times New Roman"/>
              <w:color w:val="000000"/>
              <w:sz w:val="20"/>
            </w:rPr>
            <w:tab/>
            <w:t>R. A. Hadiguna, “Manajemen Rantai Pasok Agroindustri: Pendekatan Berkelanjutan untuk Pengukuran Kinerja dan Penilaian Risiko,” 2016.</w:t>
          </w:r>
        </w:p>
        <w:p w14:paraId="71F060A0" w14:textId="77777777" w:rsidR="00BB30C9" w:rsidRPr="00BB30C9" w:rsidRDefault="00BB30C9">
          <w:pPr>
            <w:autoSpaceDE w:val="0"/>
            <w:autoSpaceDN w:val="0"/>
            <w:ind w:hanging="640"/>
            <w:divId w:val="1885100958"/>
            <w:rPr>
              <w:rFonts w:ascii="Times New Roman" w:eastAsia="Times New Roman" w:hAnsi="Times New Roman" w:cs="Times New Roman"/>
              <w:color w:val="000000"/>
              <w:sz w:val="20"/>
            </w:rPr>
          </w:pPr>
          <w:r w:rsidRPr="00BB30C9">
            <w:rPr>
              <w:rFonts w:ascii="Times New Roman" w:eastAsia="Times New Roman" w:hAnsi="Times New Roman" w:cs="Times New Roman"/>
              <w:color w:val="000000"/>
              <w:sz w:val="20"/>
            </w:rPr>
            <w:t>[13]</w:t>
          </w:r>
          <w:r w:rsidRPr="00BB30C9">
            <w:rPr>
              <w:rFonts w:ascii="Times New Roman" w:eastAsia="Times New Roman" w:hAnsi="Times New Roman" w:cs="Times New Roman"/>
              <w:color w:val="000000"/>
              <w:sz w:val="20"/>
            </w:rPr>
            <w:tab/>
            <w:t xml:space="preserve">D. Ivanov and A. Dolgui, “A digital supply chain twin for managing the disruption risks and resilience in the era of Industry 4.0,” </w:t>
          </w:r>
          <w:r w:rsidRPr="00BB30C9">
            <w:rPr>
              <w:rFonts w:ascii="Times New Roman" w:eastAsia="Times New Roman" w:hAnsi="Times New Roman" w:cs="Times New Roman"/>
              <w:i/>
              <w:iCs/>
              <w:color w:val="000000"/>
              <w:sz w:val="20"/>
            </w:rPr>
            <w:t>Production Planning and Control</w:t>
          </w:r>
          <w:r w:rsidRPr="00BB30C9">
            <w:rPr>
              <w:rFonts w:ascii="Times New Roman" w:eastAsia="Times New Roman" w:hAnsi="Times New Roman" w:cs="Times New Roman"/>
              <w:color w:val="000000"/>
              <w:sz w:val="20"/>
            </w:rPr>
            <w:t>, vol. 32, no. 9, pp. 775–788, 2021, doi: 10.1080/09537287.2020.1768450.</w:t>
          </w:r>
        </w:p>
        <w:p w14:paraId="0F25BFD5" w14:textId="2DB7C14D" w:rsidR="00896D65" w:rsidRDefault="00BB30C9" w:rsidP="00896D65">
          <w:pPr>
            <w:pBdr>
              <w:top w:val="nil"/>
              <w:left w:val="nil"/>
              <w:bottom w:val="nil"/>
              <w:right w:val="nil"/>
              <w:between w:val="nil"/>
            </w:pBdr>
            <w:spacing w:line="240" w:lineRule="auto"/>
            <w:ind w:left="567"/>
            <w:jc w:val="both"/>
            <w:rPr>
              <w:rFonts w:ascii="Times New Roman" w:eastAsia="Times New Roman" w:hAnsi="Times New Roman" w:cs="Times New Roman"/>
              <w:sz w:val="20"/>
              <w:szCs w:val="20"/>
            </w:rPr>
          </w:pPr>
          <w:r w:rsidRPr="00BB30C9">
            <w:rPr>
              <w:rFonts w:ascii="Times New Roman" w:eastAsia="Times New Roman" w:hAnsi="Times New Roman" w:cs="Times New Roman"/>
              <w:color w:val="000000"/>
              <w:sz w:val="20"/>
            </w:rPr>
            <w:t> </w:t>
          </w:r>
        </w:p>
      </w:sdtContent>
    </w:sdt>
    <w:p w14:paraId="4E1A3180" w14:textId="46C3BD6D" w:rsidR="00DD4768" w:rsidRDefault="00DD4768" w:rsidP="00896D6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sectPr w:rsidR="00DD4768">
      <w:headerReference w:type="default" r:id="rId11"/>
      <w:footerReference w:type="default" r:id="rId12"/>
      <w:headerReference w:type="firs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DC73C" w14:textId="77777777" w:rsidR="00585DF8" w:rsidRDefault="00585DF8">
      <w:pPr>
        <w:spacing w:after="0" w:line="240" w:lineRule="auto"/>
      </w:pPr>
      <w:r>
        <w:separator/>
      </w:r>
    </w:p>
  </w:endnote>
  <w:endnote w:type="continuationSeparator" w:id="0">
    <w:p w14:paraId="0C7FFB76" w14:textId="77777777" w:rsidR="00585DF8" w:rsidRDefault="0058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C5F90A-5299-4EE9-BAE5-C2FC5B966F9C}"/>
    <w:embedBold r:id="rId2" w:fontKey="{31F62CCE-5CFE-4607-84EB-3FA16902C382}"/>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embedRegular r:id="rId3" w:fontKey="{93B63CA8-2DB5-4C30-A40C-3895FF074A97}"/>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Bold r:id="rId4" w:fontKey="{14837C4D-F8E7-4F60-8D55-92DDFDB88398}"/>
    <w:embedBoldItalic r:id="rId5" w:fontKey="{1F9FD117-3573-4493-9403-EA58BA1F30C5}"/>
  </w:font>
  <w:font w:name="Calibri Light">
    <w:panose1 w:val="020F0302020204030204"/>
    <w:charset w:val="00"/>
    <w:family w:val="swiss"/>
    <w:pitch w:val="variable"/>
    <w:sig w:usb0="E4002EFF" w:usb1="C200247B" w:usb2="00000009" w:usb3="00000000" w:csb0="000001FF" w:csb1="00000000"/>
    <w:embedRegular r:id="rId6" w:fontKey="{A52B7E9C-7FE2-4E8B-95EA-08D42E950E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1CD5" w14:textId="77777777" w:rsidR="00DD4768" w:rsidRDefault="00000000">
    <w:pPr>
      <w:pBdr>
        <w:top w:val="nil"/>
        <w:left w:val="nil"/>
        <w:bottom w:val="nil"/>
        <w:right w:val="nil"/>
        <w:between w:val="nil"/>
      </w:pBdr>
      <w:tabs>
        <w:tab w:val="center" w:pos="4513"/>
        <w:tab w:val="right" w:pos="9026"/>
      </w:tabs>
      <w:spacing w:after="0" w:line="240" w:lineRule="auto"/>
      <w:jc w:val="center"/>
      <w:rPr>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JITSI </w:t>
    </w:r>
    <w:r>
      <w:rPr>
        <w:rFonts w:ascii="Times New Roman" w:eastAsia="Times New Roman" w:hAnsi="Times New Roman" w:cs="Times New Roman"/>
        <w:color w:val="000000"/>
        <w:sz w:val="20"/>
        <w:szCs w:val="20"/>
      </w:rPr>
      <w:t>: Jurnal Ilmiah Teknologi Sistem Informasi, Volume x No x, March xxxx Hal x - xx</w:t>
    </w:r>
    <w:r>
      <w:rPr>
        <w:noProof/>
      </w:rPr>
      <mc:AlternateContent>
        <mc:Choice Requires="wps">
          <w:drawing>
            <wp:anchor distT="0" distB="0" distL="114300" distR="114300" simplePos="0" relativeHeight="251658240" behindDoc="0" locked="0" layoutInCell="1" hidden="0" allowOverlap="1" wp14:anchorId="39F9F466" wp14:editId="4521C4CC">
              <wp:simplePos x="0" y="0"/>
              <wp:positionH relativeFrom="column">
                <wp:posOffset>-589914</wp:posOffset>
              </wp:positionH>
              <wp:positionV relativeFrom="paragraph">
                <wp:posOffset>-95249</wp:posOffset>
              </wp:positionV>
              <wp:extent cx="0" cy="57150"/>
              <wp:effectExtent l="0" t="0" r="0" b="0"/>
              <wp:wrapNone/>
              <wp:docPr id="1877660491" name="Straight Arrow Connector 1877660491"/>
              <wp:cNvGraphicFramePr/>
              <a:graphic xmlns:a="http://schemas.openxmlformats.org/drawingml/2006/main">
                <a:graphicData uri="http://schemas.microsoft.com/office/word/2010/wordprocessingShape">
                  <wps:wsp>
                    <wps:cNvCnPr/>
                    <wps:spPr>
                      <a:xfrm>
                        <a:off x="1917000" y="3780000"/>
                        <a:ext cx="6858000" cy="0"/>
                      </a:xfrm>
                      <a:prstGeom prst="straightConnector1">
                        <a:avLst/>
                      </a:prstGeom>
                      <a:noFill/>
                      <a:ln w="57150" cap="flat" cmpd="dbl">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-589914</wp:posOffset>
              </wp:positionH>
              <wp:positionV relativeFrom="paragraph">
                <wp:posOffset>-95249</wp:posOffset>
              </wp:positionV>
              <wp:extent cx="0" cy="57150"/>
              <wp:effectExtent b="0" l="0" r="0" t="0"/>
              <wp:wrapNone/>
              <wp:docPr id="187766049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57150"/>
                      </a:xfrm>
                      <a:prstGeom prst="rect"/>
                      <a:ln/>
                    </pic:spPr>
                  </pic:pic>
                </a:graphicData>
              </a:graphic>
            </wp:anchor>
          </w:drawing>
        </mc:Fallback>
      </mc:AlternateContent>
    </w:r>
  </w:p>
  <w:p w14:paraId="0A0AD37A" w14:textId="77777777" w:rsidR="00DD4768" w:rsidRDefault="00DD4768">
    <w:pPr>
      <w:pBdr>
        <w:top w:val="nil"/>
        <w:left w:val="nil"/>
        <w:bottom w:val="nil"/>
        <w:right w:val="nil"/>
        <w:between w:val="nil"/>
      </w:pBdr>
      <w:tabs>
        <w:tab w:val="center" w:pos="4513"/>
        <w:tab w:val="right" w:pos="9026"/>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B1E2" w14:textId="77777777" w:rsidR="00585DF8" w:rsidRDefault="00585DF8">
      <w:pPr>
        <w:spacing w:after="0" w:line="240" w:lineRule="auto"/>
      </w:pPr>
      <w:r>
        <w:separator/>
      </w:r>
    </w:p>
  </w:footnote>
  <w:footnote w:type="continuationSeparator" w:id="0">
    <w:p w14:paraId="299F8675" w14:textId="77777777" w:rsidR="00585DF8" w:rsidRDefault="00585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3C7C" w14:textId="77777777" w:rsidR="00DD4768" w:rsidRDefault="00DD4768">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tbl>
    <w:tblPr>
      <w:tblStyle w:val="a0"/>
      <w:tblW w:w="9016" w:type="dxa"/>
      <w:jc w:val="center"/>
      <w:tblBorders>
        <w:top w:val="nil"/>
        <w:left w:val="nil"/>
        <w:bottom w:val="nil"/>
        <w:right w:val="nil"/>
        <w:insideH w:val="nil"/>
        <w:insideV w:val="single" w:sz="12" w:space="0" w:color="4472C4"/>
      </w:tblBorders>
      <w:tblLayout w:type="fixed"/>
      <w:tblLook w:val="0400" w:firstRow="0" w:lastRow="0" w:firstColumn="0" w:lastColumn="0" w:noHBand="0" w:noVBand="1"/>
    </w:tblPr>
    <w:tblGrid>
      <w:gridCol w:w="8500"/>
      <w:gridCol w:w="516"/>
    </w:tblGrid>
    <w:tr w:rsidR="00DD4768" w14:paraId="4AD14EC8" w14:textId="77777777">
      <w:trPr>
        <w:jc w:val="center"/>
      </w:trPr>
      <w:tc>
        <w:tcPr>
          <w:tcW w:w="8500" w:type="dxa"/>
          <w:tcBorders>
            <w:right w:val="single" w:sz="12" w:space="0" w:color="000000"/>
          </w:tcBorders>
        </w:tcPr>
        <w:p w14:paraId="71832A06" w14:textId="77777777" w:rsidR="00DD4768"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i/>
              <w:iCs/>
              <w:color w:val="000000"/>
              <w:sz w:val="18"/>
              <w:szCs w:val="18"/>
            </w:rPr>
          </w:pPr>
          <w:r>
            <w:rPr>
              <w:rFonts w:ascii="Times New Roman" w:eastAsia="Times New Roman" w:hAnsi="Times New Roman" w:cs="Times New Roman"/>
              <w:i/>
              <w:iCs/>
              <w:sz w:val="18"/>
              <w:szCs w:val="18"/>
            </w:rPr>
            <w:t>Briyan Gifari Aji, Nabiel Muhammad Al Ghazali, Abdullah Fajar</w:t>
          </w:r>
        </w:p>
      </w:tc>
      <w:tc>
        <w:tcPr>
          <w:tcW w:w="516" w:type="dxa"/>
          <w:vMerge w:val="restart"/>
          <w:tcBorders>
            <w:left w:val="single" w:sz="12" w:space="0" w:color="000000"/>
          </w:tcBorders>
          <w:vAlign w:val="center"/>
        </w:tcPr>
        <w:p w14:paraId="4FF0253C" w14:textId="77777777" w:rsidR="00DD4768"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E02A86">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tc>
    </w:tr>
    <w:tr w:rsidR="00DD4768" w14:paraId="5DCDAF69" w14:textId="77777777">
      <w:trPr>
        <w:jc w:val="center"/>
      </w:trPr>
      <w:tc>
        <w:tcPr>
          <w:tcW w:w="8500" w:type="dxa"/>
          <w:tcBorders>
            <w:right w:val="single" w:sz="12" w:space="0" w:color="000000"/>
          </w:tcBorders>
        </w:tcPr>
        <w:p w14:paraId="5AC81C48" w14:textId="77777777" w:rsidR="00DD4768"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ab/>
            <w:t>Strategi Sourcing Berkelanjutan MBG Berbasis Advanced Analytics: Analisis PESTLE dan Rantai Pasok</w:t>
          </w:r>
        </w:p>
      </w:tc>
      <w:tc>
        <w:tcPr>
          <w:tcW w:w="516" w:type="dxa"/>
          <w:vMerge/>
          <w:tcBorders>
            <w:left w:val="single" w:sz="12" w:space="0" w:color="000000"/>
          </w:tcBorders>
          <w:vAlign w:val="center"/>
        </w:tcPr>
        <w:p w14:paraId="49F1D6E3" w14:textId="77777777" w:rsidR="00DD4768" w:rsidRDefault="00DD4768">
          <w:pPr>
            <w:widowControl w:val="0"/>
            <w:pBdr>
              <w:top w:val="nil"/>
              <w:left w:val="nil"/>
              <w:bottom w:val="nil"/>
              <w:right w:val="nil"/>
              <w:between w:val="nil"/>
            </w:pBdr>
            <w:spacing w:line="276" w:lineRule="auto"/>
            <w:rPr>
              <w:rFonts w:ascii="Times New Roman" w:eastAsia="Times New Roman" w:hAnsi="Times New Roman" w:cs="Times New Roman"/>
              <w:i/>
              <w:iCs/>
              <w:color w:val="000000"/>
              <w:sz w:val="18"/>
              <w:szCs w:val="18"/>
            </w:rPr>
          </w:pPr>
        </w:p>
      </w:tc>
    </w:tr>
  </w:tbl>
  <w:p w14:paraId="36CF2D08" w14:textId="77777777" w:rsidR="00DD4768" w:rsidRDefault="00DD4768">
    <w:pPr>
      <w:pBdr>
        <w:top w:val="nil"/>
        <w:left w:val="nil"/>
        <w:bottom w:val="nil"/>
        <w:right w:val="nil"/>
        <w:between w:val="nil"/>
      </w:pBdr>
      <w:tabs>
        <w:tab w:val="center" w:pos="4680"/>
        <w:tab w:val="right" w:pos="9360"/>
      </w:tabs>
      <w:spacing w:after="0" w:line="240" w:lineRule="auto"/>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133F" w14:textId="77777777" w:rsidR="00DD4768" w:rsidRDefault="00000000">
    <w:pPr>
      <w:pBdr>
        <w:top w:val="nil"/>
        <w:left w:val="nil"/>
        <w:bottom w:val="nil"/>
        <w:right w:val="nil"/>
        <w:between w:val="nil"/>
      </w:pBdr>
      <w:tabs>
        <w:tab w:val="center" w:pos="4680"/>
        <w:tab w:val="right" w:pos="9360"/>
      </w:tabs>
      <w:spacing w:after="0" w:line="240" w:lineRule="auto"/>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68A75132" w14:textId="77777777" w:rsidR="00DD4768" w:rsidRDefault="00DD4768">
    <w:pPr>
      <w:pBdr>
        <w:top w:val="nil"/>
        <w:left w:val="nil"/>
        <w:bottom w:val="nil"/>
        <w:right w:val="nil"/>
        <w:between w:val="nil"/>
      </w:pBdr>
      <w:tabs>
        <w:tab w:val="center" w:pos="4680"/>
        <w:tab w:val="right" w:pos="9360"/>
      </w:tabs>
      <w:spacing w:after="0" w:line="240" w:lineRule="auto"/>
      <w:rPr>
        <w:color w:val="000000"/>
        <w:sz w:val="20"/>
        <w:szCs w:val="20"/>
      </w:rPr>
    </w:pPr>
  </w:p>
  <w:p w14:paraId="75E2C7EC" w14:textId="77777777" w:rsidR="00DD4768" w:rsidRDefault="00DD47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EFA"/>
    <w:multiLevelType w:val="multilevel"/>
    <w:tmpl w:val="1A50C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6777AA"/>
    <w:multiLevelType w:val="multilevel"/>
    <w:tmpl w:val="260E4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476182"/>
    <w:multiLevelType w:val="multilevel"/>
    <w:tmpl w:val="144E57DC"/>
    <w:lvl w:ilvl="0">
      <w:start w:val="1"/>
      <w:numFmt w:val="upperLetter"/>
      <w:lvlText w:val="%1."/>
      <w:lvlJc w:val="left"/>
      <w:pPr>
        <w:ind w:left="359" w:hanging="359"/>
      </w:pPr>
      <w:rPr>
        <w:i/>
        <w:i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0C34BC"/>
    <w:multiLevelType w:val="multilevel"/>
    <w:tmpl w:val="861C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B61FE1"/>
    <w:multiLevelType w:val="multilevel"/>
    <w:tmpl w:val="7D7A5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226346"/>
    <w:multiLevelType w:val="multilevel"/>
    <w:tmpl w:val="0B5662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984251"/>
    <w:multiLevelType w:val="multilevel"/>
    <w:tmpl w:val="C2BC377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0CF0CB8"/>
    <w:multiLevelType w:val="multilevel"/>
    <w:tmpl w:val="356E3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70141E"/>
    <w:multiLevelType w:val="multilevel"/>
    <w:tmpl w:val="E1FAF4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680A26"/>
    <w:multiLevelType w:val="multilevel"/>
    <w:tmpl w:val="15444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A057DC"/>
    <w:multiLevelType w:val="multilevel"/>
    <w:tmpl w:val="CFAEBC8E"/>
    <w:lvl w:ilvl="0">
      <w:start w:val="1"/>
      <w:numFmt w:val="upperLetter"/>
      <w:lvlText w:val="%1."/>
      <w:lvlJc w:val="left"/>
      <w:pPr>
        <w:ind w:left="720" w:hanging="360"/>
      </w:pPr>
      <w:rPr>
        <w:i/>
        <w:i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4064C0C"/>
    <w:multiLevelType w:val="multilevel"/>
    <w:tmpl w:val="3A505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4886891">
    <w:abstractNumId w:val="5"/>
  </w:num>
  <w:num w:numId="2" w16cid:durableId="1853258189">
    <w:abstractNumId w:val="3"/>
  </w:num>
  <w:num w:numId="3" w16cid:durableId="1171528116">
    <w:abstractNumId w:val="10"/>
  </w:num>
  <w:num w:numId="4" w16cid:durableId="631863622">
    <w:abstractNumId w:val="2"/>
  </w:num>
  <w:num w:numId="5" w16cid:durableId="229460537">
    <w:abstractNumId w:val="0"/>
  </w:num>
  <w:num w:numId="6" w16cid:durableId="2124616966">
    <w:abstractNumId w:val="6"/>
  </w:num>
  <w:num w:numId="7" w16cid:durableId="417485506">
    <w:abstractNumId w:val="8"/>
  </w:num>
  <w:num w:numId="8" w16cid:durableId="1225943622">
    <w:abstractNumId w:val="9"/>
  </w:num>
  <w:num w:numId="9" w16cid:durableId="159005527">
    <w:abstractNumId w:val="7"/>
  </w:num>
  <w:num w:numId="10" w16cid:durableId="1551183812">
    <w:abstractNumId w:val="11"/>
  </w:num>
  <w:num w:numId="11" w16cid:durableId="1225682127">
    <w:abstractNumId w:val="4"/>
  </w:num>
  <w:num w:numId="12" w16cid:durableId="46597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768"/>
    <w:rsid w:val="00077A32"/>
    <w:rsid w:val="004864FA"/>
    <w:rsid w:val="00585DF8"/>
    <w:rsid w:val="00593FF1"/>
    <w:rsid w:val="00896D65"/>
    <w:rsid w:val="00BB30C9"/>
    <w:rsid w:val="00C41A8A"/>
    <w:rsid w:val="00D71088"/>
    <w:rsid w:val="00DD4768"/>
    <w:rsid w:val="00E02A86"/>
    <w:rsid w:val="00EF21F8"/>
    <w:rsid w:val="00FD7C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5C91"/>
  <w15:docId w15:val="{2FD9D3B6-64EE-4354-80E8-D0BC0DF8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240" w:line="240" w:lineRule="auto"/>
      <w:jc w:val="center"/>
      <w:outlineLvl w:val="0"/>
    </w:pPr>
    <w:rPr>
      <w:b/>
      <w:bCs/>
      <w:smallCaps/>
    </w:rPr>
  </w:style>
  <w:style w:type="paragraph" w:styleId="Heading2">
    <w:name w:val="heading 2"/>
    <w:basedOn w:val="Normal"/>
    <w:next w:val="Normal"/>
    <w:link w:val="Heading2Char"/>
    <w:uiPriority w:val="9"/>
    <w:semiHidden/>
    <w:unhideWhenUsed/>
    <w:qFormat/>
    <w:pPr>
      <w:keepNext/>
      <w:spacing w:before="240" w:after="240" w:line="240" w:lineRule="auto"/>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rsid w:val="002A19DA"/>
    <w:rPr>
      <w:rFonts w:ascii="Calibri" w:eastAsia="MS Mincho" w:hAnsi="Calibri" w:cs="Times New Roman"/>
      <w:b/>
      <w:caps/>
      <w:sz w:val="24"/>
      <w:szCs w:val="20"/>
      <w:lang w:eastAsia="en-GB"/>
    </w:rPr>
  </w:style>
  <w:style w:type="character" w:customStyle="1" w:styleId="Heading2Char">
    <w:name w:val="Heading 2 Char"/>
    <w:basedOn w:val="DefaultParagraphFont"/>
    <w:link w:val="Heading2"/>
    <w:rsid w:val="002A19DA"/>
    <w:rPr>
      <w:rFonts w:ascii="Calibri" w:eastAsia="MS Mincho" w:hAnsi="Calibri" w:cs="Times New Roman"/>
      <w:b/>
      <w:sz w:val="24"/>
      <w:szCs w:val="20"/>
      <w:lang w:eastAsia="en-GB"/>
    </w:rPr>
  </w:style>
  <w:style w:type="character" w:customStyle="1" w:styleId="hps">
    <w:name w:val="hps"/>
    <w:rsid w:val="002A19DA"/>
  </w:style>
  <w:style w:type="character" w:styleId="Hyperlink">
    <w:name w:val="Hyperlink"/>
    <w:uiPriority w:val="99"/>
    <w:rsid w:val="002A19DA"/>
    <w:rPr>
      <w:color w:val="0000FF"/>
      <w:u w:val="single"/>
    </w:rPr>
  </w:style>
  <w:style w:type="paragraph" w:styleId="Header">
    <w:name w:val="header"/>
    <w:basedOn w:val="Normal"/>
    <w:link w:val="HeaderChar"/>
    <w:uiPriority w:val="99"/>
    <w:unhideWhenUsed/>
    <w:rsid w:val="002A19DA"/>
    <w:pPr>
      <w:tabs>
        <w:tab w:val="center" w:pos="4680"/>
        <w:tab w:val="right" w:pos="9360"/>
      </w:tabs>
      <w:spacing w:after="0" w:line="240" w:lineRule="auto"/>
    </w:pPr>
    <w:rPr>
      <w:rFonts w:eastAsia="MS Mincho"/>
      <w:sz w:val="20"/>
      <w:szCs w:val="20"/>
      <w:lang w:val="x-none" w:eastAsia="ja-JP"/>
    </w:rPr>
  </w:style>
  <w:style w:type="character" w:customStyle="1" w:styleId="HeaderChar">
    <w:name w:val="Header Char"/>
    <w:basedOn w:val="DefaultParagraphFont"/>
    <w:link w:val="Header"/>
    <w:uiPriority w:val="99"/>
    <w:rsid w:val="002A19DA"/>
    <w:rPr>
      <w:rFonts w:ascii="Calibri" w:eastAsia="MS Mincho" w:hAnsi="Calibri" w:cs="Times New Roman"/>
      <w:sz w:val="20"/>
      <w:szCs w:val="20"/>
      <w:lang w:val="x-none" w:eastAsia="ja-JP"/>
    </w:rPr>
  </w:style>
  <w:style w:type="paragraph" w:styleId="Footer">
    <w:name w:val="footer"/>
    <w:basedOn w:val="Normal"/>
    <w:link w:val="FooterChar"/>
    <w:unhideWhenUsed/>
    <w:rsid w:val="002A19DA"/>
    <w:pPr>
      <w:tabs>
        <w:tab w:val="center" w:pos="4513"/>
        <w:tab w:val="right" w:pos="9026"/>
      </w:tabs>
      <w:spacing w:after="0" w:line="240" w:lineRule="auto"/>
    </w:pPr>
    <w:rPr>
      <w:sz w:val="20"/>
      <w:szCs w:val="20"/>
      <w:lang w:eastAsia="x-none"/>
    </w:rPr>
  </w:style>
  <w:style w:type="character" w:customStyle="1" w:styleId="FooterChar">
    <w:name w:val="Footer Char"/>
    <w:basedOn w:val="DefaultParagraphFont"/>
    <w:link w:val="Footer"/>
    <w:rsid w:val="002A19DA"/>
    <w:rPr>
      <w:rFonts w:ascii="Calibri" w:eastAsia="Calibri" w:hAnsi="Calibri" w:cs="Times New Roman"/>
      <w:sz w:val="20"/>
      <w:szCs w:val="20"/>
      <w:lang w:val="en-GB" w:eastAsia="x-none"/>
    </w:rPr>
  </w:style>
  <w:style w:type="paragraph" w:customStyle="1" w:styleId="1JUDULJOURNAL">
    <w:name w:val="1JUDUL JOURNAL"/>
    <w:basedOn w:val="Normal"/>
    <w:link w:val="1JUDULJOURNALChar"/>
    <w:qFormat/>
    <w:rsid w:val="002A19DA"/>
    <w:pPr>
      <w:autoSpaceDE w:val="0"/>
      <w:autoSpaceDN w:val="0"/>
      <w:adjustRightInd w:val="0"/>
      <w:spacing w:after="0" w:line="276" w:lineRule="auto"/>
      <w:jc w:val="center"/>
    </w:pPr>
    <w:rPr>
      <w:sz w:val="36"/>
      <w:szCs w:val="36"/>
      <w:lang w:eastAsia="x-none"/>
    </w:rPr>
  </w:style>
  <w:style w:type="character" w:customStyle="1" w:styleId="1JUDULJOURNALChar">
    <w:name w:val="1JUDUL JOURNAL Char"/>
    <w:link w:val="1JUDULJOURNAL"/>
    <w:rsid w:val="002A19DA"/>
    <w:rPr>
      <w:rFonts w:ascii="Calibri" w:eastAsia="Calibri" w:hAnsi="Calibri" w:cs="Times New Roman"/>
      <w:sz w:val="36"/>
      <w:szCs w:val="36"/>
      <w:lang w:val="en-GB" w:eastAsia="x-none"/>
    </w:rPr>
  </w:style>
  <w:style w:type="paragraph" w:customStyle="1" w:styleId="1ABSTRAK">
    <w:name w:val="1ABSTRAK"/>
    <w:basedOn w:val="Normal"/>
    <w:link w:val="1ABSTRAKChar"/>
    <w:qFormat/>
    <w:rsid w:val="002A19DA"/>
    <w:pPr>
      <w:spacing w:after="0" w:line="240" w:lineRule="auto"/>
      <w:jc w:val="both"/>
    </w:pPr>
    <w:rPr>
      <w:szCs w:val="20"/>
      <w:lang w:eastAsia="x-none"/>
    </w:rPr>
  </w:style>
  <w:style w:type="character" w:customStyle="1" w:styleId="1ABSTRAKChar">
    <w:name w:val="1ABSTRAK Char"/>
    <w:link w:val="1ABSTRAK"/>
    <w:rsid w:val="002A19DA"/>
    <w:rPr>
      <w:rFonts w:ascii="Calibri" w:eastAsia="Calibri" w:hAnsi="Calibri" w:cs="Times New Roman"/>
      <w:sz w:val="24"/>
      <w:szCs w:val="20"/>
      <w:lang w:val="en-GB" w:eastAsia="x-none"/>
    </w:rPr>
  </w:style>
  <w:style w:type="paragraph" w:customStyle="1" w:styleId="1ISIJOURNAL">
    <w:name w:val="1ISIJOURNAL"/>
    <w:basedOn w:val="Normal"/>
    <w:link w:val="1ISIJOURNALChar"/>
    <w:qFormat/>
    <w:rsid w:val="002A19DA"/>
    <w:pPr>
      <w:autoSpaceDE w:val="0"/>
      <w:autoSpaceDN w:val="0"/>
      <w:adjustRightInd w:val="0"/>
      <w:spacing w:line="240" w:lineRule="auto"/>
      <w:ind w:firstLine="425"/>
      <w:jc w:val="both"/>
    </w:pPr>
    <w:rPr>
      <w:szCs w:val="20"/>
      <w:lang w:eastAsia="x-none"/>
    </w:rPr>
  </w:style>
  <w:style w:type="character" w:customStyle="1" w:styleId="1ISIJOURNALChar">
    <w:name w:val="1ISIJOURNAL Char"/>
    <w:link w:val="1ISIJOURNAL"/>
    <w:rsid w:val="002A19DA"/>
    <w:rPr>
      <w:rFonts w:ascii="Calibri" w:eastAsia="Calibri" w:hAnsi="Calibri" w:cs="Times New Roman"/>
      <w:sz w:val="24"/>
      <w:szCs w:val="20"/>
      <w:lang w:val="en-GB" w:eastAsia="x-none"/>
    </w:rPr>
  </w:style>
  <w:style w:type="character" w:customStyle="1" w:styleId="apple-converted-space">
    <w:name w:val="apple-converted-space"/>
    <w:rsid w:val="002A19DA"/>
  </w:style>
  <w:style w:type="paragraph" w:customStyle="1" w:styleId="EndNoteBibliography">
    <w:name w:val="EndNote Bibliography"/>
    <w:basedOn w:val="Normal"/>
    <w:link w:val="EndNoteBibliography0"/>
    <w:rsid w:val="002A19DA"/>
    <w:pPr>
      <w:spacing w:after="0" w:line="240" w:lineRule="auto"/>
    </w:pPr>
    <w:rPr>
      <w:rFonts w:ascii="Times" w:eastAsiaTheme="minorEastAsia" w:hAnsi="Times" w:cs="Times"/>
      <w:noProof/>
      <w:sz w:val="22"/>
      <w:szCs w:val="20"/>
      <w:lang w:val="en-US" w:eastAsia="en-US"/>
    </w:rPr>
  </w:style>
  <w:style w:type="character" w:customStyle="1" w:styleId="EndNoteBibliography0">
    <w:name w:val="EndNote Bibliography (文字)"/>
    <w:basedOn w:val="DefaultParagraphFont"/>
    <w:link w:val="EndNoteBibliography"/>
    <w:rsid w:val="002A19DA"/>
    <w:rPr>
      <w:rFonts w:ascii="Times" w:eastAsiaTheme="minorEastAsia" w:hAnsi="Times" w:cs="Times"/>
      <w:noProof/>
      <w:szCs w:val="20"/>
    </w:rPr>
  </w:style>
  <w:style w:type="table" w:customStyle="1" w:styleId="TableGrid">
    <w:name w:val="TableGrid"/>
    <w:rsid w:val="002A19DA"/>
    <w:pPr>
      <w:spacing w:after="0" w:line="240" w:lineRule="auto"/>
    </w:pPr>
    <w:rPr>
      <w:rFonts w:eastAsiaTheme="minorEastAsia"/>
      <w:lang w:val="en-GB" w:eastAsia="en-GB"/>
    </w:rPr>
    <w:tblPr>
      <w:tblCellMar>
        <w:top w:w="0" w:type="dxa"/>
        <w:left w:w="0" w:type="dxa"/>
        <w:bottom w:w="0" w:type="dxa"/>
        <w:right w:w="0" w:type="dxa"/>
      </w:tblCellMar>
    </w:tblPr>
  </w:style>
  <w:style w:type="paragraph" w:customStyle="1" w:styleId="IJASEITAuthorName">
    <w:name w:val="IJASEIT Author Name"/>
    <w:basedOn w:val="Normal"/>
    <w:next w:val="Normal"/>
    <w:rsid w:val="002A19DA"/>
    <w:pPr>
      <w:adjustRightInd w:val="0"/>
      <w:snapToGrid w:val="0"/>
      <w:spacing w:before="120" w:after="120" w:line="240" w:lineRule="auto"/>
      <w:jc w:val="center"/>
    </w:pPr>
    <w:rPr>
      <w:rFonts w:ascii="Times New Roman" w:eastAsia="Times New Roman" w:hAnsi="Times New Roman"/>
    </w:rPr>
  </w:style>
  <w:style w:type="paragraph" w:customStyle="1" w:styleId="IJASEITAuthorAffiliation">
    <w:name w:val="IJASEIT Author Affiliation"/>
    <w:basedOn w:val="Normal"/>
    <w:next w:val="Normal"/>
    <w:rsid w:val="002A19DA"/>
    <w:pPr>
      <w:spacing w:after="60" w:line="240" w:lineRule="auto"/>
      <w:jc w:val="center"/>
    </w:pPr>
    <w:rPr>
      <w:rFonts w:ascii="Times New Roman" w:eastAsia="Times New Roman" w:hAnsi="Times New Roman"/>
      <w:i/>
      <w:sz w:val="18"/>
    </w:rPr>
  </w:style>
  <w:style w:type="character" w:customStyle="1" w:styleId="SubtitleChar">
    <w:name w:val="Subtitle Char"/>
    <w:basedOn w:val="DefaultParagraphFont"/>
    <w:link w:val="Subtitle"/>
    <w:uiPriority w:val="11"/>
    <w:rsid w:val="002A19DA"/>
    <w:rPr>
      <w:rFonts w:ascii="Times New Roman" w:eastAsia="Times New Roman" w:hAnsi="Times New Roman" w:cs="Times New Roman"/>
      <w:b/>
      <w:sz w:val="30"/>
      <w:szCs w:val="24"/>
    </w:rPr>
  </w:style>
  <w:style w:type="paragraph" w:customStyle="1" w:styleId="RESTIBodyText">
    <w:name w:val="RESTI_BodyText"/>
    <w:basedOn w:val="BodyText"/>
    <w:rsid w:val="002A19DA"/>
    <w:pPr>
      <w:spacing w:line="240" w:lineRule="auto"/>
    </w:pPr>
    <w:rPr>
      <w:rFonts w:ascii="Times New Roman" w:eastAsia="MS Mincho" w:hAnsi="Times New Roman"/>
      <w:sz w:val="20"/>
      <w:lang w:val="en-US" w:eastAsia="ja-JP"/>
    </w:rPr>
  </w:style>
  <w:style w:type="character" w:customStyle="1" w:styleId="RESTIParagraphChar">
    <w:name w:val="RESTIParagraph Char"/>
    <w:link w:val="RESTIParagraph"/>
    <w:locked/>
    <w:rsid w:val="002A19DA"/>
    <w:rPr>
      <w:rFonts w:ascii="Times New Roman" w:eastAsia="SimSun" w:hAnsi="Times New Roman"/>
      <w:lang w:val="en-AU" w:eastAsia="zh-CN"/>
    </w:rPr>
  </w:style>
  <w:style w:type="paragraph" w:customStyle="1" w:styleId="RESTIParagraph">
    <w:name w:val="RESTIParagraph"/>
    <w:basedOn w:val="Normal"/>
    <w:link w:val="RESTIParagraphChar"/>
    <w:rsid w:val="002A19DA"/>
    <w:pPr>
      <w:adjustRightInd w:val="0"/>
      <w:snapToGrid w:val="0"/>
      <w:spacing w:after="0" w:line="240" w:lineRule="auto"/>
      <w:ind w:firstLine="216"/>
      <w:jc w:val="both"/>
    </w:pPr>
    <w:rPr>
      <w:rFonts w:ascii="Times New Roman" w:eastAsia="SimSun" w:hAnsi="Times New Roman" w:cstheme="minorBidi"/>
      <w:sz w:val="22"/>
      <w:szCs w:val="22"/>
      <w:lang w:val="en-AU" w:eastAsia="zh-CN"/>
    </w:rPr>
  </w:style>
  <w:style w:type="paragraph" w:customStyle="1" w:styleId="TeksNormal">
    <w:name w:val="Teks Normal"/>
    <w:basedOn w:val="Normal"/>
    <w:qFormat/>
    <w:rsid w:val="002A19DA"/>
    <w:pPr>
      <w:spacing w:after="0" w:line="240" w:lineRule="auto"/>
      <w:ind w:firstLine="245"/>
      <w:jc w:val="both"/>
    </w:pPr>
    <w:rPr>
      <w:rFonts w:ascii="Times New Roman" w:eastAsia="Times New Roman" w:hAnsi="Times New Roman"/>
      <w:sz w:val="20"/>
      <w:szCs w:val="20"/>
      <w:lang w:val="fi-FI" w:eastAsia="en-US"/>
    </w:rPr>
  </w:style>
  <w:style w:type="paragraph" w:customStyle="1" w:styleId="IJASEITParagraph">
    <w:name w:val="IJASEIT Paragraph"/>
    <w:basedOn w:val="Normal"/>
    <w:link w:val="IJASEITParagraphChar"/>
    <w:rsid w:val="002A19DA"/>
    <w:pPr>
      <w:adjustRightInd w:val="0"/>
      <w:snapToGrid w:val="0"/>
      <w:spacing w:after="0" w:line="240" w:lineRule="auto"/>
      <w:ind w:firstLine="216"/>
      <w:jc w:val="both"/>
    </w:pPr>
    <w:rPr>
      <w:rFonts w:ascii="Times New Roman" w:eastAsia="SimSun" w:hAnsi="Times New Roman"/>
      <w:sz w:val="20"/>
      <w:lang w:val="en-AU" w:eastAsia="zh-CN"/>
    </w:rPr>
  </w:style>
  <w:style w:type="character" w:customStyle="1" w:styleId="IJASEITParagraphChar">
    <w:name w:val="IJASEIT Paragraph Char"/>
    <w:link w:val="IJASEITParagraph"/>
    <w:rsid w:val="002A19DA"/>
    <w:rPr>
      <w:rFonts w:ascii="Times New Roman" w:eastAsia="SimSun" w:hAnsi="Times New Roman" w:cs="Times New Roman"/>
      <w:sz w:val="20"/>
      <w:szCs w:val="24"/>
      <w:lang w:val="en-AU" w:eastAsia="zh-CN"/>
    </w:rPr>
  </w:style>
  <w:style w:type="paragraph" w:customStyle="1" w:styleId="IJASEITHeading1">
    <w:name w:val="IJASEIT Heading 1"/>
    <w:basedOn w:val="Normal"/>
    <w:next w:val="IJASEITParagraph"/>
    <w:rsid w:val="002A19DA"/>
    <w:pPr>
      <w:adjustRightInd w:val="0"/>
      <w:snapToGrid w:val="0"/>
      <w:spacing w:before="240" w:after="80" w:line="240" w:lineRule="auto"/>
      <w:jc w:val="center"/>
    </w:pPr>
    <w:rPr>
      <w:rFonts w:ascii="Times New Roman" w:eastAsia="SimSun" w:hAnsi="Times New Roman"/>
      <w:smallCaps/>
      <w:sz w:val="20"/>
      <w:lang w:val="en-AU" w:eastAsia="zh-CN"/>
    </w:rPr>
  </w:style>
  <w:style w:type="paragraph" w:customStyle="1" w:styleId="IJASEITHeading2">
    <w:name w:val="IJASEIT Heading 2"/>
    <w:basedOn w:val="Normal"/>
    <w:next w:val="IJASEITParagraph"/>
    <w:rsid w:val="002A19DA"/>
    <w:pPr>
      <w:adjustRightInd w:val="0"/>
      <w:snapToGrid w:val="0"/>
      <w:spacing w:before="150" w:after="60" w:line="240" w:lineRule="auto"/>
    </w:pPr>
    <w:rPr>
      <w:rFonts w:ascii="Times New Roman" w:eastAsia="SimSun" w:hAnsi="Times New Roman"/>
      <w:i/>
      <w:sz w:val="20"/>
      <w:lang w:val="en-AU" w:eastAsia="zh-CN"/>
    </w:rPr>
  </w:style>
  <w:style w:type="character" w:customStyle="1" w:styleId="tlid-translation">
    <w:name w:val="tlid-translation"/>
    <w:basedOn w:val="DefaultParagraphFont"/>
    <w:rsid w:val="002A19DA"/>
  </w:style>
  <w:style w:type="paragraph" w:styleId="BodyText">
    <w:name w:val="Body Text"/>
    <w:basedOn w:val="Normal"/>
    <w:link w:val="BodyTextChar"/>
    <w:uiPriority w:val="99"/>
    <w:semiHidden/>
    <w:unhideWhenUsed/>
    <w:rsid w:val="002A19DA"/>
    <w:pPr>
      <w:spacing w:after="120"/>
    </w:pPr>
  </w:style>
  <w:style w:type="character" w:customStyle="1" w:styleId="BodyTextChar">
    <w:name w:val="Body Text Char"/>
    <w:basedOn w:val="DefaultParagraphFont"/>
    <w:link w:val="BodyText"/>
    <w:uiPriority w:val="99"/>
    <w:semiHidden/>
    <w:rsid w:val="002A19DA"/>
    <w:rPr>
      <w:rFonts w:ascii="Calibri" w:eastAsia="Calibri" w:hAnsi="Calibri" w:cs="Times New Roman"/>
      <w:sz w:val="24"/>
      <w:szCs w:val="24"/>
      <w:lang w:val="en-GB" w:eastAsia="en-GB"/>
    </w:rPr>
  </w:style>
  <w:style w:type="table" w:styleId="TableGrid0">
    <w:name w:val="Table Grid"/>
    <w:basedOn w:val="TableNormal"/>
    <w:uiPriority w:val="39"/>
    <w:rsid w:val="002A1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7541"/>
    <w:pPr>
      <w:ind w:left="720"/>
      <w:contextualSpacing/>
    </w:pPr>
  </w:style>
  <w:style w:type="paragraph" w:styleId="Subtitle">
    <w:name w:val="Subtitle"/>
    <w:basedOn w:val="Normal"/>
    <w:next w:val="Normal"/>
    <w:link w:val="SubtitleChar"/>
    <w:uiPriority w:val="11"/>
    <w:qFormat/>
    <w:pPr>
      <w:spacing w:after="200" w:line="240" w:lineRule="auto"/>
      <w:jc w:val="center"/>
    </w:pPr>
    <w:rPr>
      <w:rFonts w:ascii="Times New Roman" w:eastAsia="Times New Roman" w:hAnsi="Times New Roman" w:cs="Times New Roman"/>
      <w:b/>
      <w:bCs/>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character" w:styleId="PlaceholderText">
    <w:name w:val="Placeholder Text"/>
    <w:basedOn w:val="DefaultParagraphFont"/>
    <w:uiPriority w:val="99"/>
    <w:semiHidden/>
    <w:rsid w:val="00FD7C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7303">
      <w:marLeft w:val="640"/>
      <w:marRight w:val="0"/>
      <w:marTop w:val="0"/>
      <w:marBottom w:val="0"/>
      <w:divBdr>
        <w:top w:val="none" w:sz="0" w:space="0" w:color="auto"/>
        <w:left w:val="none" w:sz="0" w:space="0" w:color="auto"/>
        <w:bottom w:val="none" w:sz="0" w:space="0" w:color="auto"/>
        <w:right w:val="none" w:sz="0" w:space="0" w:color="auto"/>
      </w:divBdr>
    </w:div>
    <w:div w:id="124395542">
      <w:marLeft w:val="640"/>
      <w:marRight w:val="0"/>
      <w:marTop w:val="0"/>
      <w:marBottom w:val="0"/>
      <w:divBdr>
        <w:top w:val="none" w:sz="0" w:space="0" w:color="auto"/>
        <w:left w:val="none" w:sz="0" w:space="0" w:color="auto"/>
        <w:bottom w:val="none" w:sz="0" w:space="0" w:color="auto"/>
        <w:right w:val="none" w:sz="0" w:space="0" w:color="auto"/>
      </w:divBdr>
    </w:div>
    <w:div w:id="470750642">
      <w:marLeft w:val="640"/>
      <w:marRight w:val="0"/>
      <w:marTop w:val="0"/>
      <w:marBottom w:val="0"/>
      <w:divBdr>
        <w:top w:val="none" w:sz="0" w:space="0" w:color="auto"/>
        <w:left w:val="none" w:sz="0" w:space="0" w:color="auto"/>
        <w:bottom w:val="none" w:sz="0" w:space="0" w:color="auto"/>
        <w:right w:val="none" w:sz="0" w:space="0" w:color="auto"/>
      </w:divBdr>
    </w:div>
    <w:div w:id="574362568">
      <w:marLeft w:val="640"/>
      <w:marRight w:val="0"/>
      <w:marTop w:val="0"/>
      <w:marBottom w:val="0"/>
      <w:divBdr>
        <w:top w:val="none" w:sz="0" w:space="0" w:color="auto"/>
        <w:left w:val="none" w:sz="0" w:space="0" w:color="auto"/>
        <w:bottom w:val="none" w:sz="0" w:space="0" w:color="auto"/>
        <w:right w:val="none" w:sz="0" w:space="0" w:color="auto"/>
      </w:divBdr>
    </w:div>
    <w:div w:id="631208601">
      <w:marLeft w:val="640"/>
      <w:marRight w:val="0"/>
      <w:marTop w:val="0"/>
      <w:marBottom w:val="0"/>
      <w:divBdr>
        <w:top w:val="none" w:sz="0" w:space="0" w:color="auto"/>
        <w:left w:val="none" w:sz="0" w:space="0" w:color="auto"/>
        <w:bottom w:val="none" w:sz="0" w:space="0" w:color="auto"/>
        <w:right w:val="none" w:sz="0" w:space="0" w:color="auto"/>
      </w:divBdr>
    </w:div>
    <w:div w:id="858860347">
      <w:marLeft w:val="640"/>
      <w:marRight w:val="0"/>
      <w:marTop w:val="0"/>
      <w:marBottom w:val="0"/>
      <w:divBdr>
        <w:top w:val="none" w:sz="0" w:space="0" w:color="auto"/>
        <w:left w:val="none" w:sz="0" w:space="0" w:color="auto"/>
        <w:bottom w:val="none" w:sz="0" w:space="0" w:color="auto"/>
        <w:right w:val="none" w:sz="0" w:space="0" w:color="auto"/>
      </w:divBdr>
    </w:div>
    <w:div w:id="920721729">
      <w:marLeft w:val="640"/>
      <w:marRight w:val="0"/>
      <w:marTop w:val="0"/>
      <w:marBottom w:val="0"/>
      <w:divBdr>
        <w:top w:val="none" w:sz="0" w:space="0" w:color="auto"/>
        <w:left w:val="none" w:sz="0" w:space="0" w:color="auto"/>
        <w:bottom w:val="none" w:sz="0" w:space="0" w:color="auto"/>
        <w:right w:val="none" w:sz="0" w:space="0" w:color="auto"/>
      </w:divBdr>
    </w:div>
    <w:div w:id="1023283961">
      <w:marLeft w:val="640"/>
      <w:marRight w:val="0"/>
      <w:marTop w:val="0"/>
      <w:marBottom w:val="0"/>
      <w:divBdr>
        <w:top w:val="none" w:sz="0" w:space="0" w:color="auto"/>
        <w:left w:val="none" w:sz="0" w:space="0" w:color="auto"/>
        <w:bottom w:val="none" w:sz="0" w:space="0" w:color="auto"/>
        <w:right w:val="none" w:sz="0" w:space="0" w:color="auto"/>
      </w:divBdr>
    </w:div>
    <w:div w:id="1140221732">
      <w:marLeft w:val="640"/>
      <w:marRight w:val="0"/>
      <w:marTop w:val="0"/>
      <w:marBottom w:val="0"/>
      <w:divBdr>
        <w:top w:val="none" w:sz="0" w:space="0" w:color="auto"/>
        <w:left w:val="none" w:sz="0" w:space="0" w:color="auto"/>
        <w:bottom w:val="none" w:sz="0" w:space="0" w:color="auto"/>
        <w:right w:val="none" w:sz="0" w:space="0" w:color="auto"/>
      </w:divBdr>
    </w:div>
    <w:div w:id="1321737170">
      <w:marLeft w:val="640"/>
      <w:marRight w:val="0"/>
      <w:marTop w:val="0"/>
      <w:marBottom w:val="0"/>
      <w:divBdr>
        <w:top w:val="none" w:sz="0" w:space="0" w:color="auto"/>
        <w:left w:val="none" w:sz="0" w:space="0" w:color="auto"/>
        <w:bottom w:val="none" w:sz="0" w:space="0" w:color="auto"/>
        <w:right w:val="none" w:sz="0" w:space="0" w:color="auto"/>
      </w:divBdr>
    </w:div>
    <w:div w:id="1358578469">
      <w:marLeft w:val="640"/>
      <w:marRight w:val="0"/>
      <w:marTop w:val="0"/>
      <w:marBottom w:val="0"/>
      <w:divBdr>
        <w:top w:val="none" w:sz="0" w:space="0" w:color="auto"/>
        <w:left w:val="none" w:sz="0" w:space="0" w:color="auto"/>
        <w:bottom w:val="none" w:sz="0" w:space="0" w:color="auto"/>
        <w:right w:val="none" w:sz="0" w:space="0" w:color="auto"/>
      </w:divBdr>
    </w:div>
    <w:div w:id="1400521603">
      <w:marLeft w:val="640"/>
      <w:marRight w:val="0"/>
      <w:marTop w:val="0"/>
      <w:marBottom w:val="0"/>
      <w:divBdr>
        <w:top w:val="none" w:sz="0" w:space="0" w:color="auto"/>
        <w:left w:val="none" w:sz="0" w:space="0" w:color="auto"/>
        <w:bottom w:val="none" w:sz="0" w:space="0" w:color="auto"/>
        <w:right w:val="none" w:sz="0" w:space="0" w:color="auto"/>
      </w:divBdr>
    </w:div>
    <w:div w:id="1603612758">
      <w:marLeft w:val="640"/>
      <w:marRight w:val="0"/>
      <w:marTop w:val="0"/>
      <w:marBottom w:val="0"/>
      <w:divBdr>
        <w:top w:val="none" w:sz="0" w:space="0" w:color="auto"/>
        <w:left w:val="none" w:sz="0" w:space="0" w:color="auto"/>
        <w:bottom w:val="none" w:sz="0" w:space="0" w:color="auto"/>
        <w:right w:val="none" w:sz="0" w:space="0" w:color="auto"/>
      </w:divBdr>
    </w:div>
    <w:div w:id="1715735199">
      <w:marLeft w:val="640"/>
      <w:marRight w:val="0"/>
      <w:marTop w:val="0"/>
      <w:marBottom w:val="0"/>
      <w:divBdr>
        <w:top w:val="none" w:sz="0" w:space="0" w:color="auto"/>
        <w:left w:val="none" w:sz="0" w:space="0" w:color="auto"/>
        <w:bottom w:val="none" w:sz="0" w:space="0" w:color="auto"/>
        <w:right w:val="none" w:sz="0" w:space="0" w:color="auto"/>
      </w:divBdr>
    </w:div>
    <w:div w:id="1717729470">
      <w:marLeft w:val="640"/>
      <w:marRight w:val="0"/>
      <w:marTop w:val="0"/>
      <w:marBottom w:val="0"/>
      <w:divBdr>
        <w:top w:val="none" w:sz="0" w:space="0" w:color="auto"/>
        <w:left w:val="none" w:sz="0" w:space="0" w:color="auto"/>
        <w:bottom w:val="none" w:sz="0" w:space="0" w:color="auto"/>
        <w:right w:val="none" w:sz="0" w:space="0" w:color="auto"/>
      </w:divBdr>
    </w:div>
    <w:div w:id="1735203871">
      <w:marLeft w:val="640"/>
      <w:marRight w:val="0"/>
      <w:marTop w:val="0"/>
      <w:marBottom w:val="0"/>
      <w:divBdr>
        <w:top w:val="none" w:sz="0" w:space="0" w:color="auto"/>
        <w:left w:val="none" w:sz="0" w:space="0" w:color="auto"/>
        <w:bottom w:val="none" w:sz="0" w:space="0" w:color="auto"/>
        <w:right w:val="none" w:sz="0" w:space="0" w:color="auto"/>
      </w:divBdr>
    </w:div>
    <w:div w:id="1844010704">
      <w:marLeft w:val="640"/>
      <w:marRight w:val="0"/>
      <w:marTop w:val="0"/>
      <w:marBottom w:val="0"/>
      <w:divBdr>
        <w:top w:val="none" w:sz="0" w:space="0" w:color="auto"/>
        <w:left w:val="none" w:sz="0" w:space="0" w:color="auto"/>
        <w:bottom w:val="none" w:sz="0" w:space="0" w:color="auto"/>
        <w:right w:val="none" w:sz="0" w:space="0" w:color="auto"/>
      </w:divBdr>
    </w:div>
    <w:div w:id="1849519263">
      <w:marLeft w:val="640"/>
      <w:marRight w:val="0"/>
      <w:marTop w:val="0"/>
      <w:marBottom w:val="0"/>
      <w:divBdr>
        <w:top w:val="none" w:sz="0" w:space="0" w:color="auto"/>
        <w:left w:val="none" w:sz="0" w:space="0" w:color="auto"/>
        <w:bottom w:val="none" w:sz="0" w:space="0" w:color="auto"/>
        <w:right w:val="none" w:sz="0" w:space="0" w:color="auto"/>
      </w:divBdr>
    </w:div>
    <w:div w:id="1885100958">
      <w:marLeft w:val="640"/>
      <w:marRight w:val="0"/>
      <w:marTop w:val="0"/>
      <w:marBottom w:val="0"/>
      <w:divBdr>
        <w:top w:val="none" w:sz="0" w:space="0" w:color="auto"/>
        <w:left w:val="none" w:sz="0" w:space="0" w:color="auto"/>
        <w:bottom w:val="none" w:sz="0" w:space="0" w:color="auto"/>
        <w:right w:val="none" w:sz="0" w:space="0" w:color="auto"/>
      </w:divBdr>
    </w:div>
    <w:div w:id="1894270260">
      <w:marLeft w:val="640"/>
      <w:marRight w:val="0"/>
      <w:marTop w:val="0"/>
      <w:marBottom w:val="0"/>
      <w:divBdr>
        <w:top w:val="none" w:sz="0" w:space="0" w:color="auto"/>
        <w:left w:val="none" w:sz="0" w:space="0" w:color="auto"/>
        <w:bottom w:val="none" w:sz="0" w:space="0" w:color="auto"/>
        <w:right w:val="none" w:sz="0" w:space="0" w:color="auto"/>
      </w:divBdr>
    </w:div>
    <w:div w:id="1962805750">
      <w:marLeft w:val="640"/>
      <w:marRight w:val="0"/>
      <w:marTop w:val="0"/>
      <w:marBottom w:val="0"/>
      <w:divBdr>
        <w:top w:val="none" w:sz="0" w:space="0" w:color="auto"/>
        <w:left w:val="none" w:sz="0" w:space="0" w:color="auto"/>
        <w:bottom w:val="none" w:sz="0" w:space="0" w:color="auto"/>
        <w:right w:val="none" w:sz="0" w:space="0" w:color="auto"/>
      </w:divBdr>
    </w:div>
    <w:div w:id="2023316729">
      <w:marLeft w:val="640"/>
      <w:marRight w:val="0"/>
      <w:marTop w:val="0"/>
      <w:marBottom w:val="0"/>
      <w:divBdr>
        <w:top w:val="none" w:sz="0" w:space="0" w:color="auto"/>
        <w:left w:val="none" w:sz="0" w:space="0" w:color="auto"/>
        <w:bottom w:val="none" w:sz="0" w:space="0" w:color="auto"/>
        <w:right w:val="none" w:sz="0" w:space="0" w:color="auto"/>
      </w:divBdr>
    </w:div>
    <w:div w:id="2025402391">
      <w:marLeft w:val="640"/>
      <w:marRight w:val="0"/>
      <w:marTop w:val="0"/>
      <w:marBottom w:val="0"/>
      <w:divBdr>
        <w:top w:val="none" w:sz="0" w:space="0" w:color="auto"/>
        <w:left w:val="none" w:sz="0" w:space="0" w:color="auto"/>
        <w:bottom w:val="none" w:sz="0" w:space="0" w:color="auto"/>
        <w:right w:val="none" w:sz="0" w:space="0" w:color="auto"/>
      </w:divBdr>
    </w:div>
    <w:div w:id="2098676280">
      <w:marLeft w:val="640"/>
      <w:marRight w:val="0"/>
      <w:marTop w:val="0"/>
      <w:marBottom w:val="0"/>
      <w:divBdr>
        <w:top w:val="none" w:sz="0" w:space="0" w:color="auto"/>
        <w:left w:val="none" w:sz="0" w:space="0" w:color="auto"/>
        <w:bottom w:val="none" w:sz="0" w:space="0" w:color="auto"/>
        <w:right w:val="none" w:sz="0" w:space="0" w:color="auto"/>
      </w:divBdr>
    </w:div>
    <w:div w:id="2101754681">
      <w:marLeft w:val="640"/>
      <w:marRight w:val="0"/>
      <w:marTop w:val="0"/>
      <w:marBottom w:val="0"/>
      <w:divBdr>
        <w:top w:val="none" w:sz="0" w:space="0" w:color="auto"/>
        <w:left w:val="none" w:sz="0" w:space="0" w:color="auto"/>
        <w:bottom w:val="none" w:sz="0" w:space="0" w:color="auto"/>
        <w:right w:val="none" w:sz="0" w:space="0" w:color="auto"/>
      </w:divBdr>
    </w:div>
    <w:div w:id="2111197619">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EFEA3C-9E3E-442B-8353-9CC06018A856}"/>
      </w:docPartPr>
      <w:docPartBody>
        <w:p w:rsidR="001F174F" w:rsidRDefault="008A7381">
          <w:r w:rsidRPr="0095452E">
            <w:rPr>
              <w:rStyle w:val="PlaceholderText"/>
            </w:rPr>
            <w:t>Click or tap here to enter text.</w:t>
          </w:r>
        </w:p>
      </w:docPartBody>
    </w:docPart>
    <w:docPart>
      <w:docPartPr>
        <w:name w:val="F79547129DA94E2284DA21261F5F6592"/>
        <w:category>
          <w:name w:val="General"/>
          <w:gallery w:val="placeholder"/>
        </w:category>
        <w:types>
          <w:type w:val="bbPlcHdr"/>
        </w:types>
        <w:behaviors>
          <w:behavior w:val="content"/>
        </w:behaviors>
        <w:guid w:val="{C2AD841D-BC10-4424-8F2A-5A0E211B71F1}"/>
      </w:docPartPr>
      <w:docPartBody>
        <w:p w:rsidR="001F174F" w:rsidRDefault="008A7381" w:rsidP="008A7381">
          <w:pPr>
            <w:pStyle w:val="F79547129DA94E2284DA21261F5F6592"/>
          </w:pPr>
          <w:r w:rsidRPr="009545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81"/>
    <w:rsid w:val="001F174F"/>
    <w:rsid w:val="008A7381"/>
    <w:rsid w:val="0092345D"/>
    <w:rsid w:val="00D71088"/>
    <w:rsid w:val="00E135EC"/>
    <w:rsid w:val="00EF21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7381"/>
    <w:rPr>
      <w:color w:val="666666"/>
    </w:rPr>
  </w:style>
  <w:style w:type="paragraph" w:customStyle="1" w:styleId="F79547129DA94E2284DA21261F5F6592">
    <w:name w:val="F79547129DA94E2284DA21261F5F6592"/>
    <w:rsid w:val="008A73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AA4695-F50D-46EE-93F9-0F5AC320085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7458201754"/>
    <we:property name="MENDELEY_CITATIONS" value="[{&quot;citationID&quot;:&quot;MENDELEY_CITATION_9e11efd3-7dda-4f46-aa22-da0054866b54&quot;,&quot;properties&quot;:{&quot;noteIndex&quot;:0},&quot;isEdited&quot;:false,&quot;manualOverride&quot;:{&quot;isManuallyOverridden&quot;:false,&quot;citeprocText&quot;:&quot;[1]&quot;,&quot;manualOverrideText&quot;:&quot;&quot;},&quot;citationItems&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citationTag&quot;:&quot;MENDELEY_CITATION_v3_eyJjaXRhdGlvbklEIjoiTUVOREVMRVlfQ0lUQVRJT05fOWUxMWVmZDMtN2RkYS00ZjQ2LWFhMjItZGEwMDU0ODY2YjU0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quot;},{&quot;citationID&quot;:&quot;MENDELEY_CITATION_75df914f-d479-4334-89b3-c45accf66d5e&quot;,&quot;properties&quot;:{&quot;noteIndex&quot;:0},&quot;isEdited&quot;:false,&quot;manualOverride&quot;:{&quot;isManuallyOverridden&quot;:false,&quot;citeprocText&quot;:&quot;[1]&quot;,&quot;manualOverrideText&quot;:&quot;&quot;},&quot;citationItems&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citationTag&quot;:&quot;MENDELEY_CITATION_v3_eyJjaXRhdGlvbklEIjoiTUVOREVMRVlfQ0lUQVRJT05fNzVkZjkxNGYtZDQ3OS00MzM0LTg5YjMtYzQ1YWNjZjY2ZDVl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quot;},{&quot;citationID&quot;:&quot;MENDELEY_CITATION_eb35969c-571f-4ac2-9824-77426da80e2d&quot;,&quot;properties&quot;:{&quot;noteIndex&quot;:0},&quot;isEdited&quot;:false,&quot;manualOverride&quot;:{&quot;isManuallyOverridden&quot;:false,&quot;citeprocText&quot;:&quot;[1, p. 9], [2]&quot;,&quot;manualOverrideText&quot;:&quot;&quot;},&quot;citationTag&quot;:&quot;MENDELEY_CITATION_v3_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UsImxvY2F0b3IiOiI5In1dfQ==&quot;,&quot;citationItems&quot;:[{&quot;id&quot;:&quot;f0f8039a-a230-3c57-a2f6-7b6b5cd7418a&quot;,&quot;itemData&quot;:{&quot;type&quot;:&quot;report&quot;,&quot;id&quot;:&quot;f0f8039a-a230-3c57-a2f6-7b6b5cd7418a&quot;,&quot;title&quot;:&quot;Nutrition guidelines and standards for school meals: A report from 33 low and middle-income countries&quot;,&quot;issued&quot;:{&quot;date-parts&quot;:[[2019]]},&quot;container-title-short&quot;:&quot;&quot;},&quot;isTemporary&quot;:false},{&quot;displayAs&quot;:&quot;original&quot;,&quot;label&quot;:&quot;page&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locator&quot;:&quot;9&quot;}]},{&quot;citationID&quot;:&quot;MENDELEY_CITATION_938f4b13-490a-4f99-8395-c60e285ccaaf&quot;,&quot;properties&quot;:{&quot;noteIndex&quot;:0},&quot;isEdited&quot;:false,&quot;manualOverride&quot;:{&quot;isManuallyOverridden&quot;:false,&quot;citeprocText&quot;:&quot;[3]&quot;,&quot;manualOverrideText&quot;:&quot;&quot;},&quot;citationTag&quot;:&quot;MENDELEY_CITATION_v3_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&quot;,&quot;citationItems&quot;:[{&quot;id&quot;:&quot;1f1a2b84-2bf6-3783-bbad-d3992f399348&quot;,&quot;itemData&quot;:{&quot;type&quot;:&quot;article-journal&quot;,&quot;id&quot;:&quot;1f1a2b84-2bf6-3783-bbad-d3992f399348&quot;,&quot;title&quot;:&quot;Big data in the food supply chain: a literature review&quot;,&quot;author&quot;:[{&quot;family&quot;:&quot;Rejeb&quot;,&quot;given&quot;:&quot;Abderahman&quot;,&quot;parse-names&quot;:false,&quot;dropping-particle&quot;:&quot;&quot;,&quot;non-dropping-particle&quot;:&quot;&quot;},{&quot;family&quot;:&quot;Keogh&quot;,&quot;given&quot;:&quot;John G.&quot;,&quot;parse-names&quot;:false,&quot;dropping-particle&quot;:&quot;&quot;,&quot;non-dropping-particle&quot;:&quot;&quot;},{&quot;family&quot;:&quot;Rejeb&quot;,&quot;given&quot;:&quot;Karim&quot;,&quot;parse-names&quot;:false,&quot;dropping-particle&quot;:&quot;&quot;,&quot;non-dropping-particle&quot;:&quot;&quot;}],&quot;container-title&quot;:&quot;Journal of Data, Information and Management&quot;,&quot;DOI&quot;:&quot;10.1007/s42488-021-00064-0&quot;,&quot;ISSN&quot;:&quot;25246364&quot;,&quot;issued&quot;:{&quot;date-parts&quot;:[[2022,3,1]]},&quot;page&quot;:&quot;33-47&quot;,&quot;abstract&quot;:&quot;The emergence of big data (BD) offers new opportunities for food businesses to address emerging risks and operational challenges. BD denotes the integration and analysis of multiple data sets, which are inherently complex, voluminous and are often of inadequate quality and structure. While BD is a well-established method in supply chain management, academic research on its application in the food ecosystem is still lagging. To fill this knowledge gap and capture the latest developments in this field, a systematic literature review was performed. Forty-one papers were selected and thoroughly examined and analysed to identify the enablers of BD in the food supply chain. The review primarily attempted to obtain an answer to the following research question: “What are the possibilities of leveraging big data in the food supply chain?“ Six significant benefits of applying BD in the food industry were identified, namely, the extraction of valuable knowledge and insights, decision-making support, improvement of food chain efficiencies, reliable forecasting, waste minimization, and food safety. Finally, some challenges and future research directions were outlined.&quot;,&quot;publisher&quot;:&quot;Springer International Publishing&quot;,&quot;issue&quot;:&quot;1&quot;,&quot;volume&quot;:&quot;4&quot;,&quot;container-title-short&quot;:&quot;&quot;},&quot;isTemporary&quot;:false}]},{&quot;citationID&quot;:&quot;MENDELEY_CITATION_c9475502-a647-4b81-9663-2fdbc67c2ed3&quot;,&quot;properties&quot;:{&quot;noteIndex&quot;:0},&quot;isEdited&quot;:false,&quot;manualOverride&quot;:{&quot;isManuallyOverridden&quot;:false,&quot;citeprocText&quot;:&quot;[1, pp. 10–11], [4]&quot;,&quot;manualOverrideText&quot;:&quot;&quot;},&quot;citationTag&quot;:&quot;MENDELEY_CITATION_v3_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&quot;,&quot;citationItems&quot;:[{&quot;displayAs&quot;:&quot;original&quot;,&quot;label&quot;:&quot;page&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locator&quot;:&quot;10-11&quot;},{&quot;id&quot;:&quot;5c2051b2-03ca-334b-8af6-5363d36dbb32&quot;,&quot;itemData&quot;:{&quot;type&quot;:&quot;report&quot;,&quot;id&quot;:&quot;5c2051b2-03ca-334b-8af6-5363d36dbb32&quot;,&quot;title&quot;:&quot;UNDANG-UNDANG REPUBLIK INDONESIA\nNOMOR 18 TAHUN 2012&quot;,&quot;issued&quot;:{&quot;date-parts&quot;:[[2012]]},&quot;container-title-short&quot;:&quot;&quot;},&quot;isTemporary&quot;:false}]},{&quot;citationID&quot;:&quot;MENDELEY_CITATION_7cc749b6-0fd4-48f3-8dd2-356597cba774&quot;,&quot;properties&quot;:{&quot;noteIndex&quot;:0},&quot;isEdited&quot;:false,&quot;manualOverride&quot;:{&quot;isManuallyOverridden&quot;:false,&quot;citeprocText&quot;:&quot;[5]&quot;,&quot;manualOverrideText&quot;:&quot;&quot;},&quot;citationTag&quot;:&quot;MENDELEY_CITATION_v3_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&quot;,&quot;citationItems&quot;:[{&quot;id&quot;:&quot;b9451367-00bc-304c-a8de-c9ab0caf9926&quot;,&quot;itemData&quot;:{&quot;type&quot;:&quot;article-journal&quot;,&quot;id&quot;:&quot;b9451367-00bc-304c-a8de-c9ab0caf9926&quot;,&quot;title&quot;:&quot;Partnerships from cannibals with forks: The triple bottom line of 21st-century business&quot;,&quot;author&quot;:[{&quot;family&quot;:&quot;Elkington&quot;,&quot;given&quot;:&quot;John&quot;,&quot;parse-names&quot;:false,&quot;dropping-particle&quot;:&quot;&quot;,&quot;non-dropping-particle&quot;:&quot;&quot;}],&quot;container-title&quot;:&quot;Environmental Quality Management&quot;,&quot;DOI&quot;:&quot;10.1002/tqem.3310080106&quot;,&quot;ISSN&quot;:&quot;15206483&quot;,&quot;issued&quot;:{&quot;date-parts&quot;:[[1998]]},&quot;page&quot;:&quot;37-51&quot;,&quot;abstract&quot;:&quot;Editor's Note: John Elkington's new book, Cannibals with Forks: The Triple Bottom Line of 21st-Century Business, has been hailed as “practical, compassionate and deeply informed, a brilliant synthesis of his genius for cutting through the thicket of tough issues–in the world of business and sustainability–and producing elegant solutions that can be applied today” (Paul Hawken). We are pleased to have the opportunity to publish a selection from this award-winning book. In this discussion of partnerships, Elkington explores how effective, long-term partnerships will be crucial for companies making the transition to sustainability and offers approaches and examples of keen interest. Special thanks to Capstone Publishers, U.K., for their gracious cooperation. © 1998 Wiley Periodicals, Inc., A Wiley Company.&quot;,&quot;issue&quot;:&quot;1&quot;,&quot;volume&quot;:&quot;8&quot;,&quot;container-title-short&quot;:&quot;&quot;},&quot;isTemporary&quot;:false}]},{&quot;citationID&quot;:&quot;MENDELEY_CITATION_97730547-2e48-4e3c-8a76-4fc6a176a21f&quot;,&quot;properties&quot;:{&quot;noteIndex&quot;:0},&quot;isEdited&quot;:false,&quot;manualOverride&quot;:{&quot;isManuallyOverridden&quot;:false,&quot;citeprocText&quot;:&quot;[2]&quot;,&quot;manualOverrideText&quot;:&quot;&quot;},&quot;citationTag&quot;:&quot;MENDELEY_CITATION_v3_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&quot;,&quot;citationItems&quot;:[{&quot;id&quot;:&quot;f0f8039a-a230-3c57-a2f6-7b6b5cd7418a&quot;,&quot;itemData&quot;:{&quot;type&quot;:&quot;report&quot;,&quot;id&quot;:&quot;f0f8039a-a230-3c57-a2f6-7b6b5cd7418a&quot;,&quot;title&quot;:&quot;Nutrition guidelines and standards for school meals: A report from 33 low and middle-income countries&quot;,&quot;issued&quot;:{&quot;date-parts&quot;:[[2019]]},&quot;container-title-short&quot;:&quot;&quot;},&quot;isTemporary&quot;:false}]},{&quot;citationID&quot;:&quot;MENDELEY_CITATION_21d2d576-197f-415d-8130-8a3db54513cb&quot;,&quot;properties&quot;:{&quot;noteIndex&quot;:0},&quot;isEdited&quot;:false,&quot;manualOverride&quot;:{&quot;isManuallyOverridden&quot;:false,&quot;citeprocText&quot;:&quot;[6], [7]&quot;,&quot;manualOverrideText&quot;:&quot;&quot;},&quot;citationTag&quot;:&quot;MENDELEY_CITATION_v3_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&quot;,&quot;citationItems&quot;:[{&quot;id&quot;:&quot;560d7965-cc81-32ec-999b-c691f4b9057a&quot;,&quot;itemData&quot;:{&quot;type&quot;:&quot;report&quot;,&quot;id&quot;:&quot;560d7965-cc81-32ec-999b-c691f4b9057a&quot;,&quot;title&quot;:&quot;Developing a framework for enhancing survivability of sustainable supply chains during and post COVID-19 pandemic&quot;,&quot;author&quot;:[{&quot;family&quot;:&quot;Sharma&quot;,&quot;given&quot;:&quot;Manu&quot;,&quot;parse-names&quot;:false,&quot;dropping-particle&quot;:&quot;&quot;,&quot;non-dropping-particle&quot;:&quot;&quot;},{&quot;family&quot;:&quot;Luthra&quot;,&quot;given&quot;:&quot;Sunil&quot;,&quot;parse-names&quot;:false,&quot;dropping-particle&quot;:&quot;&quot;,&quot;non-dropping-particle&quot;:&quot;&quot;},{&quot;family&quot;:&quot;Joshi&quot;,&quot;given&quot;:&quot;Sudhanshu&quot;,&quot;parse-names&quot;:false,&quot;dropping-particle&quot;:&quot;&quot;,&quot;non-dropping-particle&quot;:&quot;&quot;},{&quot;family&quot;:&quot;Kumar&quot;,&quot;given&quot;:&quot;Anil&quot;,&quot;parse-names&quot;:false,&quot;dropping-particle&quot;:&quot;&quot;,&quot;non-dropping-particle&quot;:&quot;&quot;}],&quot;issued&quot;:{&quot;date-parts&quot;:[[2022]]},&quot;abstract&quot;:&quot;The pandemic has created a restrictive working system including remote working, and flexible hours for the firms and employees all around the globe thus, transforming into a platform economy may reduce unemployment and enhance job opportunities. Therefore, firms are now trying to identify the ways for enhancing survivability of Sustainable Supply Chains (SSCs). This study has made an effort to develop a framework for enhancing survivability of SSCs to survive in and post COVID-19 pandemic. This study has utilized Stepwise Weight Assessment Ratio Analysis (SWARA) method for identifying the significant factors for enhancing survivability of SSCs to be focused in pandemic situation. The study revealed that 'Supply Chain Network Viability (SCV)' is the main criterion for managing buyer-supplier relationship and enhancing survivability of SSCs during and post COVID-19 situation. This study is helpful for firms, suppliers, and other stakeholders to focus on the identified factors for healthier future.&quot;,&quot;container-title-short&quot;:&quot;&quot;},&quot;isTemporary&quot;:false},{&quot;id&quot;:&quot;becd0984-ace0-313d-84bd-8d8580f1b719&quot;,&quot;itemData&quot;:{&quot;type&quot;:&quot;article-journal&quot;,&quot;id&quot;:&quot;becd0984-ace0-313d-84bd-8d8580f1b719&quot;,&quot;title&quot;:&quot;Viable supply chain model: integrating agility, resilience and sustainability perspectives—lessons from and thinking beyond the COVID-19 pandemic&quot;,&quot;author&quot;:[{&quot;family&quot;:&quot;Ivanov&quot;,&quot;given&quot;:&quot;Dmitry&quot;,&quot;parse-names&quot;:false,&quot;dropping-particle&quot;:&quot;&quot;,&quot;non-dropping-particle&quot;:&quot;&quot;}],&quot;container-title&quot;:&quot;Annals of Operations Research&quot;,&quot;container-title-short&quot;:&quot;Ann Oper Res&quot;,&quot;DOI&quot;:&quot;10.1007/s10479-020-03640-6&quot;,&quot;ISSN&quot;:&quot;15729338&quot;,&quot;issued&quot;:{&quot;date-parts&quot;:[[2022,12,1]]},&quot;page&quot;:&quot;1411-1431&quot;,&quot;abstract&quot;:&quot;Viability is the ability of a supply chain (SC) to maintain itself and survive in a changing environment through a redesign of structures and replanning of performance with long-term impacts. In this paper, we theorize a new notion—the viable supply chain (VSC). In our approach, viability is considered as an underlying SC property spanning three perspectives, i.e., agility, resilience, and sustainability. The principal ideas of the VSC model are adaptable structural SC designs for supply–demand allocations and, most importantly, establishment and control of adaptive mechanisms for transitions between the structural designs. Further, we demonstrate how the VSC components can be categorized across organizational, informational, process-functional, technological, and financial structures. Moreover, our study offers a VSC framework within an SC ecosystem. We discuss the relations between resilience and viability. Through the lens and guidance of dynamic systems theory, we illustrate the VSC model at the technical level. The VSC model can be of value for decision-makers to design SCs that can react adaptively to both positive changes (i.e., the agility angle) and be able to absorb negative disturbances, recover and survive during short-term disruptions and long-term, global shocks with societal and economical transformations (i.e., the resilience and sustainability angles). The VSC model can help firms in guiding their decisions on recovery and re-building of their SCs after global, long-term crises such as the COVID-19 pandemic. We emphasize that resilience is the central perspective in the VSC guaranteeing viability of the SCs of the future. Emerging directions in VSC research are discussed.&quot;,&quot;publisher&quot;:&quot;Springer&quot;,&quot;issue&quot;:&quot;1&quot;,&quot;volume&quot;:&quot;319&quot;},&quot;isTemporary&quot;:false}]},{&quot;citationID&quot;:&quot;MENDELEY_CITATION_127c3219-730f-46bc-ae54-032a87a62157&quot;,&quot;properties&quot;:{&quot;noteIndex&quot;:0},&quot;isEdited&quot;:false,&quot;manualOverride&quot;:{&quot;isManuallyOverridden&quot;:false,&quot;citeprocText&quot;:&quot;[1, pp. 10–11]&quot;,&quot;manualOverrideText&quot;:&quot;&quot;},&quot;citationTag&quot;:&quot;MENDELEY_CITATION_v3_eyJjaXRhdGlvbklEIjoiTUVOREVMRVlfQ0lUQVRJT05fMTI3YzMyMTktNzMwZi00NmJjLWFlNTQtMDMyYTg3YTYyMTU3IiwicHJvcGVydGllcyI6eyJub3RlSW5kZXgiOjB9LCJpc0VkaXRlZCI6ZmFsc2UsIm1hbnVhbE92ZXJyaWRlIjp7ImlzTWFudWFsbHlPdmVycmlkZGVuIjpmYWxzZSwiY2l0ZXByb2NUZXh0IjoiWzEsIHBwLiAxMOKAkzExXSIsIm1hbnVhbE92ZXJyaWRlVGV4dCI6IiJ9LCJjaXRhdGlvbkl0ZW1zIjpbeyJkaXNwbGF5QXMiOiJvcmlnaW5hbCIsImxhYmVsIjoicGFnZSIs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UsImxvY2F0b3IiOiIxMC0xMSJ9XX0=&quot;,&quot;citationItems&quot;:[{&quot;displayAs&quot;:&quot;original&quot;,&quot;label&quot;:&quot;page&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locator&quot;:&quot;10-11&quot;}]},{&quot;citationID&quot;:&quot;MENDELEY_CITATION_5981581d-09f5-4745-84dd-839282d21c9a&quot;,&quot;properties&quot;:{&quot;noteIndex&quot;:0},&quot;isEdited&quot;:false,&quot;manualOverride&quot;:{&quot;isManuallyOverridden&quot;:false,&quot;citeprocText&quot;:&quot;[8]&quot;,&quot;manualOverrideText&quot;:&quot;&quot;},&quot;citationTag&quot;:&quot;MENDELEY_CITATION_v3_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&quot;,&quot;citationItems&quot;:[{&quot;id&quot;:&quot;b5b6480e-5d6b-3ce0-a6a1-e0e2978aad72&quot;,&quot;itemData&quot;:{&quot;type&quot;:&quot;article&quot;,&quot;id&quot;:&quot;b5b6480e-5d6b-3ce0-a6a1-e0e2978aad72&quot;,&quot;title&quot;:&quot;Green supply-chain management: A state-of-the-art literature review&quot;,&quot;author&quot;:[{&quot;family&quot;:&quot;Srivastava&quot;,&quot;given&quot;:&quot;Samir K.&quot;,&quot;parse-names&quot;:false,&quot;dropping-particle&quot;:&quot;&quot;,&quot;non-dropping-particle&quot;:&quot;&quot;}],&quot;container-title&quot;:&quot;International Journal of Management Reviews&quot;,&quot;DOI&quot;:&quot;10.1111/j.1468-2370.2007.00202.x&quot;,&quot;ISSN&quot;:&quot;14608545&quot;,&quot;issued&quot;:{&quot;date-parts&quot;:[[2007,3]]},&quot;page&quot;:&quot;53-80&quot;,&quot;abstract&quot;:&quot;There is a growing need for integrating environmentally sound choices into supply-chain management research and practice. Perusal of the literature shows that a broad frame of reference for green supply-chain management (GrSCM) is not adequately developed. Regulatory bodies that formulate regulations to meet societal and ecological concerns to facilitate growth of business and economy also suffer from its absence. A succinct classification to help academicians, researchers and practitioners in understanding integrated GrSCM from a wider perspective is needed. Further, sufficient literature is available to warrant such classification. This paper takes an integrated and fresh look into the area of GrSCM. The literature on GrSCM is covered exhaustively from its conceptualization, primarily taking a 'reverse logistics angle'. Using the rich body of available literature, including earlier reviews that had relatively limited perspectives, the literature on GrSCM is classified on the basis of the problem context in supply chain's major influential areas. It is also classified on the basis of methodology and approach adopted. Various mathematical tools/techniques used in literature vis-à-vis the contexts of GrSCM are mapped. A timeline indicating relevant papers is also provided as a ready reference. Finally, the findings and interpretations are summarized, and the main research issues and opportunities are highlighted. © Blackwell Publishing Ltd 2007.&quot;,&quot;issue&quot;:&quot;1&quot;,&quot;volume&quot;:&quot;9&quot;,&quot;container-title-short&quot;:&quot;&quot;},&quot;isTemporary&quot;:false}]},{&quot;citationID&quot;:&quot;MENDELEY_CITATION_76fe8ef7-5be1-4289-bf6f-61c135672035&quot;,&quot;properties&quot;:{&quot;noteIndex&quot;:0},&quot;isEdited&quot;:false,&quot;manualOverride&quot;:{&quot;isManuallyOverridden&quot;:false,&quot;citeprocText&quot;:&quot;[9]&quot;,&quot;manualOverrideText&quot;:&quot;&quot;},&quot;citationTag&quot;:&quot;MENDELEY_CITATION_v3_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&quot;,&quot;citationItems&quot;:[{&quot;id&quot;:&quot;c49b0fc4-a203-3327-8748-cff5b1d7a85b&quot;,&quot;itemData&quot;:{&quot;type&quot;:&quot;book&quot;,&quot;id&quot;:&quot;c49b0fc4-a203-3327-8748-cff5b1d7a85b&quot;,&quot;title&quot;:&quot;Green logistics : improving the environmental sustainability of logistics&quot;,&quot;author&quot;:[{&quot;family&quot;:&quot;McKinnon&quot;,&quot;given&quot;:&quot;Alan C..&quot;,&quot;parse-names&quot;:false,&quot;dropping-particle&quot;:&quot;&quot;,&quot;non-dropping-particle&quot;:&quot;&quot;}],&quot;ISBN&quot;:&quot;9780749456788&quot;,&quot;issued&quot;:{&quot;date-parts&quot;:[[2010]]},&quot;number-of-pages&quot;:&quot;372&quot;,&quot;abstract&quot;:&quot;Green Logistics analyzes the environmental consequences of logistics and how to deal with them. Written by a leading team of logistics academics, the book examines ways of reducing these externalities and achieving a more sustainable balance between economic, environmental, and social objectives. Table of contents; Contributor biographies; Part 1 Assessing the environmental effects of logistics; 1 Environmental sustainability; 2 Assessing the environmental impacts of freight transport; 3 Carbon auditing of companies, supply chains and products; 4 Evaluating and internalizing the environmental costs of logistics; Part 2 Strategic perspective; 5 Restructuring of logistics systems and supply chains; 6 Transferring freight to 'greener' transport modes; 7 Development of greener vehicles, aircraft and ships; 8 Reducing the environmental impact of warehousing; Part 3 Operational perspective.&quot;,&quot;publisher&quot;:&quot;Kogan Page&quot;,&quot;container-title-short&quot;:&quot;&quot;},&quot;isTemporary&quot;:false}]},{&quot;citationID&quot;:&quot;MENDELEY_CITATION_64a16d8d-a38d-426e-b9f2-7b9dc070afad&quot;,&quot;properties&quot;:{&quot;noteIndex&quot;:0},&quot;isEdited&quot;:false,&quot;manualOverride&quot;:{&quot;isManuallyOverridden&quot;:false,&quot;citeprocText&quot;:&quot;[1]&quot;,&quot;manualOverrideText&quot;:&quot;&quot;},&quot;citationTag&quot;:&quot;MENDELEY_CITATION_v3_eyJjaXRhdGlvbklEIjoiTUVOREVMRVlfQ0lUQVRJT05fNjRhMTZkOGQtYTM4ZC00MjZlLWI5ZjItN2I5ZGMwNzBhZmFk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quot;,&quot;citationItems&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citationID&quot;:&quot;MENDELEY_CITATION_0b8d27fb-f04a-4636-8578-a432ba9c9bd4&quot;,&quot;properties&quot;:{&quot;noteIndex&quot;:0},&quot;isEdited&quot;:false,&quot;manualOverride&quot;:{&quot;isManuallyOverridden&quot;:false,&quot;citeprocText&quot;:&quot;[10]&quot;,&quot;manualOverrideText&quot;:&quot;&quot;},&quot;citationTag&quot;:&quot;MENDELEY_CITATION_v3_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&quot;,&quot;citationItems&quot;:[{&quot;id&quot;:&quot;1293a10f-4b42-3d65-a9d4-d72fec9558ae&quot;,&quot;itemData&quot;:{&quot;type&quot;:&quot;book&quot;,&quot;id&quot;:&quot;1293a10f-4b42-3d65-a9d4-d72fec9558ae&quot;,&quot;title&quot;:&quot;The greenhouse gas protocol : the GHG protocol for project accounting&quot;,&quot;ISBN&quot;:&quot;1569735980&quot;,&quot;issued&quot;:{&quot;date-parts&quot;:[[2005]]},&quot;number-of-pages&quot;:&quot;144&quot;,&quot;abstract&quot;:&quot;Cover title. &quot;,&quot;publisher&quot;:&quot;World Business Council for Sustainable Development ; World Resources Institute&quot;,&quot;container-title-short&quot;:&quot;&quot;},&quot;isTemporary&quot;:false}]},{&quot;citationID&quot;:&quot;MENDELEY_CITATION_d45d692a-663a-44e7-bfd8-19469358c8df&quot;,&quot;properties&quot;:{&quot;noteIndex&quot;:0},&quot;isEdited&quot;:false,&quot;manualOverride&quot;:{&quot;isManuallyOverridden&quot;:false,&quot;citeprocText&quot;:&quot;[9]&quot;,&quot;manualOverrideText&quot;:&quot;&quot;},&quot;citationTag&quot;:&quot;MENDELEY_CITATION_v3_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&quot;,&quot;citationItems&quot;:[{&quot;id&quot;:&quot;c49b0fc4-a203-3327-8748-cff5b1d7a85b&quot;,&quot;itemData&quot;:{&quot;type&quot;:&quot;book&quot;,&quot;id&quot;:&quot;c49b0fc4-a203-3327-8748-cff5b1d7a85b&quot;,&quot;title&quot;:&quot;Green logistics : improving the environmental sustainability of logistics&quot;,&quot;author&quot;:[{&quot;family&quot;:&quot;McKinnon&quot;,&quot;given&quot;:&quot;Alan C..&quot;,&quot;parse-names&quot;:false,&quot;dropping-particle&quot;:&quot;&quot;,&quot;non-dropping-particle&quot;:&quot;&quot;}],&quot;ISBN&quot;:&quot;9780749456788&quot;,&quot;issued&quot;:{&quot;date-parts&quot;:[[2010]]},&quot;number-of-pages&quot;:&quot;372&quot;,&quot;abstract&quot;:&quot;Green Logistics analyzes the environmental consequences of logistics and how to deal with them. Written by a leading team of logistics academics, the book examines ways of reducing these externalities and achieving a more sustainable balance between economic, environmental, and social objectives. Table of contents; Contributor biographies; Part 1 Assessing the environmental effects of logistics; 1 Environmental sustainability; 2 Assessing the environmental impacts of freight transport; 3 Carbon auditing of companies, supply chains and products; 4 Evaluating and internalizing the environmental costs of logistics; Part 2 Strategic perspective; 5 Restructuring of logistics systems and supply chains; 6 Transferring freight to 'greener' transport modes; 7 Development of greener vehicles, aircraft and ships; 8 Reducing the environmental impact of warehousing; Part 3 Operational perspective.&quot;,&quot;publisher&quot;:&quot;Kogan Page&quot;,&quot;container-title-short&quot;:&quot;&quot;},&quot;isTemporary&quot;:false,&quot;suppress-author&quot;:false,&quot;composite&quot;:false,&quot;author-only&quot;:false}]},{&quot;citationID&quot;:&quot;MENDELEY_CITATION_1ed16e14-793f-4a2b-8d78-4f86eb76515d&quot;,&quot;properties&quot;:{&quot;noteIndex&quot;:0},&quot;isEdited&quot;:false,&quot;manualOverride&quot;:{&quot;isManuallyOverridden&quot;:false,&quot;citeprocText&quot;:&quot;[11]&quot;,&quot;manualOverrideText&quot;:&quot;&quot;},&quot;citationTag&quot;:&quot;MENDELEY_CITATION_v3_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&quot;,&quot;citationItems&quot;:[{&quot;id&quot;:&quot;244278b8-184d-3d0d-b774-bb8016f37dd9&quot;,&quot;itemData&quot;:{&quot;type&quot;:&quot;article-journal&quot;,&quot;id&quot;:&quot;244278b8-184d-3d0d-b774-bb8016f37dd9&quot;,&quot;title&quot;:&quot;Multi criteria decision making approaches for green supplier evaluation and selection: A literature review&quot;,&quot;author&quot;:[{&quot;family&quot;:&quot;Govindan&quot;,&quot;given&quot;:&quot;Kannan&quot;,&quot;parse-names&quot;:false,&quot;dropping-particle&quot;:&quot;&quot;,&quot;non-dropping-particle&quot;:&quot;&quot;},{&quot;family&quot;:&quot;Rajendran&quot;,&quot;given&quot;:&quot;Sivakumar&quot;,&quot;parse-names&quot;:false,&quot;dropping-particle&quot;:&quot;&quot;,&quot;non-dropping-particle&quot;:&quot;&quot;},{&quot;family&quot;:&quot;Sarkis&quot;,&quot;given&quot;:&quot;Joseph&quot;,&quot;parse-names&quot;:false,&quot;dropping-particle&quot;:&quot;&quot;,&quot;non-dropping-particle&quot;:&quot;&quot;},{&quot;family&quot;:&quot;Murugesan&quot;,&quot;given&quot;:&quot;P.&quot;,&quot;parse-names&quot;:false,&quot;dropping-particle&quot;:&quot;&quot;,&quot;non-dropping-particle&quot;:&quot;&quot;}],&quot;container-title&quot;:&quot;Journal of Cleaner Production&quot;,&quot;container-title-short&quot;:&quot;J Clean Prod&quot;,&quot;DOI&quot;:&quot;10.1016/j.jclepro.2013.06.046&quot;,&quot;ISSN&quot;:&quot;09596526&quot;,&quot;issued&quot;:{&quot;date-parts&quot;:[[2015,7,1]]},&quot;page&quot;:&quot;66-83&quot;,&quot;abstract&quot;:&quot;A large and growing body of literature to supplier evaluation and selection exists. Literature on green supplier evaluation that considers environmental factors are relatively limited. Recently, in supply chain management decision making, approaches for evaluating green supplier performance have used both qualitative and quantitative environmental data. Given this evolving research field, the goal and purpose of this paper is to analyze research in international scientific journals and international conference proceedings that focus on green supplier selection. We propose the following questions that will be answered: (i) which selection approaches are commonly applied?, (ii) what environmental and other selection criteria for green supplier management are popular?, (iii) and what limitations exist? Published research from 1997 to 2011 is structurally reviewed based on the first two questions. We find that the applied techniques are mostly fuzzy based single model approaches. The most common criterion considered for green supplier selection was \&quot;environmental management systems\&quot;. A further critical analysis is completed and gaps in the current literature are identified. These gaps help us to identify improvements for green supplier selection process and possible future directions.&quot;,&quot;publisher&quot;:&quot;Elsevier Ltd&quot;,&quot;volume&quot;:&quot;98&quot;},&quot;isTemporary&quot;:false}]},{&quot;citationID&quot;:&quot;MENDELEY_CITATION_7d8576eb-3207-4b21-a58b-801596212a60&quot;,&quot;properties&quot;:{&quot;noteIndex&quot;:0},&quot;isEdited&quot;:false,&quot;manualOverride&quot;:{&quot;isManuallyOverridden&quot;:false,&quot;citeprocText&quot;:&quot;[12], [13]&quot;,&quot;manualOverrideText&quot;:&quot;&quot;},&quot;citationItems&quot;:[{&quot;id&quot;:&quot;21432604-93f8-3119-83d9-fbb4a2a37639&quot;,&quot;itemData&quot;:{&quot;type&quot;:&quot;article-journal&quot;,&quot;id&quot;:&quot;21432604-93f8-3119-83d9-fbb4a2a37639&quot;,&quot;title&quot;:&quot;Manajemen Rantai Pasok Agroindustri: Pendekatan Berkelanjutan untuk Pengukuran Kinerja dan Penilaian Risiko&quot;,&quot;author&quot;:[{&quot;family&quot;:&quot;Hadiguna&quot;,&quot;given&quot;:&quot;Rika Ampuh&quot;,&quot;parse-names&quot;:false,&quot;dropping-particle&quot;:&quot;&quot;,&quot;non-dropping-particle&quot;:&quot;&quot;}],&quot;issued&quot;:{&quot;date-parts&quot;:[[2016]]},&quot;container-title-short&quot;:&quot;&quot;},&quot;isTemporary&quot;:false},{&quot;id&quot;:&quot;21da5598-bf22-31cd-a215-f26bb82dd489&quot;,&quot;itemData&quot;:{&quot;type&quot;:&quot;article-journal&quot;,&quot;id&quot;:&quot;21da5598-bf22-31cd-a215-f26bb82dd489&quot;,&quot;title&quot;:&quot;A digital supply chain twin for managing the disruption risks and resilience in the era of Industry 4.0&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container-title&quot;:&quot;Production Planning and Control&quot;,&quot;DOI&quot;:&quot;10.1080/09537287.2020.1768450&quot;,&quot;ISSN&quot;:&quot;13665871&quot;,&quot;issued&quot;:{&quot;date-parts&quot;:[[2021]]},&quot;page&quot;:&quot;775-788&quot;,&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quot;,&quot;publisher&quot;:&quot;Taylor and Francis Ltd.&quot;,&quot;issue&quot;:&quot;9&quot;,&quot;volume&quot;:&quot;32&quot;},&quot;isTemporary&quot;:false}],&quot;citationTag&quot;:&quot;MENDELEY_CITATION_v3_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&quot;},{&quot;citationID&quot;:&quot;MENDELEY_CITATION_a7efa2f7-924c-42eb-8b3b-68e8e31792d0&quot;,&quot;properties&quot;:{&quot;noteIndex&quot;:0},&quot;isEdited&quot;:false,&quot;manualOverride&quot;:{&quot;isManuallyOverridden&quot;:false,&quot;citeprocText&quot;:&quot;[2]&quot;,&quot;manualOverrideText&quot;:&quot;&quot;},&quot;citationTag&quot;:&quot;MENDELEY_CITATION_v3_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&quot;,&quot;citationItems&quot;:[{&quot;id&quot;:&quot;f0f8039a-a230-3c57-a2f6-7b6b5cd7418a&quot;,&quot;itemData&quot;:{&quot;type&quot;:&quot;report&quot;,&quot;id&quot;:&quot;f0f8039a-a230-3c57-a2f6-7b6b5cd7418a&quot;,&quot;title&quot;:&quot;Nutrition guidelines and standards for school meals: A report from 33 low and middle-income countries&quot;,&quot;issued&quot;:{&quot;date-parts&quot;:[[2019]]},&quot;container-title-short&quot;:&quot;&quot;},&quot;isTemporary&quot;:false}]},{&quot;citationID&quot;:&quot;MENDELEY_CITATION_809ef0a9-a495-4f45-873b-27cb8adb4aa1&quot;,&quot;properties&quot;:{&quot;noteIndex&quot;:0},&quot;isEdited&quot;:false,&quot;manualOverride&quot;:{&quot;isManuallyOverridden&quot;:false,&quot;citeprocText&quot;:&quot;[13]&quot;,&quot;manualOverrideText&quot;:&quot;&quot;},&quot;citationTag&quot;:&quot;MENDELEY_CITATION_v3_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&quot;,&quot;citationItems&quot;:[{&quot;id&quot;:&quot;21da5598-bf22-31cd-a215-f26bb82dd489&quot;,&quot;itemData&quot;:{&quot;type&quot;:&quot;article-journal&quot;,&quot;id&quot;:&quot;21da5598-bf22-31cd-a215-f26bb82dd489&quot;,&quot;title&quot;:&quot;A digital supply chain twin for managing the disruption risks and resilience in the era of Industry 4.0&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container-title&quot;:&quot;Production Planning and Control&quot;,&quot;DOI&quot;:&quot;10.1080/09537287.2020.1768450&quot;,&quot;ISSN&quot;:&quot;13665871&quot;,&quot;issued&quot;:{&quot;date-parts&quot;:[[2021]]},&quot;page&quot;:&quot;775-788&quot;,&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quot;,&quot;publisher&quot;:&quot;Taylor and Francis Ltd.&quot;,&quot;issue&quot;:&quot;9&quot;,&quot;volume&quot;:&quot;32&quot;},&quot;isTemporary&quot;:false}]},{&quot;citationID&quot;:&quot;MENDELEY_CITATION_6aa042cb-241e-4d9d-a3c6-f548dafe222a&quot;,&quot;properties&quot;:{&quot;noteIndex&quot;:0},&quot;isEdited&quot;:false,&quot;manualOverride&quot;:{&quot;isManuallyOverridden&quot;:false,&quot;citeprocText&quot;:&quot;[1]&quot;,&quot;manualOverrideText&quot;:&quot;&quot;},&quot;citationTag&quot;:&quot;MENDELEY_CITATION_v3_eyJjaXRhdGlvbklEIjoiTUVOREVMRVlfQ0lUQVRJT05fNmFhMDQyY2ItMjQxZS00ZDlkLWEzYzYtZjU0OGRhZmUyMjJh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quot;,&quot;citationItems&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quot;citationID&quot;:&quot;MENDELEY_CITATION_265e070e-c97b-4894-9206-15796544b33f&quot;,&quot;properties&quot;:{&quot;noteIndex&quot;:0},&quot;isEdited&quot;:false,&quot;manualOverride&quot;:{&quot;isManuallyOverridden&quot;:false,&quot;citeprocText&quot;:&quot;[1]&quot;,&quot;manualOverrideText&quot;:&quot;&quot;},&quot;citationTag&quot;:&quot;MENDELEY_CITATION_v3_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&quot;,&quot;citationItems&quot;:[{&quot;id&quot;:&quot;48e57069-2bf8-3047-88c3-4f8014dc342c&quot;,&quot;itemData&quot;:{&quot;type&quot;:&quot;report&quot;,&quot;id&quot;:&quot;48e57069-2bf8-3047-88c3-4f8014dc342c&quot;,&quot;title&quot;:&quot;Standar Gizi dan Makanan Program Makan Bergizi Gratis&quot;,&quot;issued&quot;:{&quot;date-parts&quot;:[[2024]]},&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8JjE86RfY5KXKTSs4YzcHqY4A==">CgMxLjAyDmguYWZnZzVmNGdvM3gzMg5oLm9oMXNtazM0Y25wNzIOaC44d200OWRxNWVpczcyDmgubzVlaTRlNnU4MXExMg5oLjZuOXFheWVjOTVibzIOaC45Zm4zdDJ4aWV1a3gyDmguM2kwbG8xbnBham0yMg5oLjNpMGxvMW5wYWptMjIOaC4zaTBsbzFucGFqbTIyDmguM2kwbG8xbnBham0yMg1oLnBqbWV1MWNkZTFuOAByITFmenFhclVWdEktOWxiMmZ2SVI5NWVJVUpYQU9vaC1Ubg==</go:docsCustomData>
</go:gDocsCustomXmlDataStorage>
</file>

<file path=customXml/itemProps1.xml><?xml version="1.0" encoding="utf-8"?>
<ds:datastoreItem xmlns:ds="http://schemas.openxmlformats.org/officeDocument/2006/customXml" ds:itemID="{71E5C198-67EE-46E4-B465-2EB2DB4452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hidra amnur</dc:creator>
  <cp:lastModifiedBy>Nabiel Muhammad Al Ghazali</cp:lastModifiedBy>
  <cp:revision>5</cp:revision>
  <dcterms:created xsi:type="dcterms:W3CDTF">2020-01-28T08:16:00Z</dcterms:created>
  <dcterms:modified xsi:type="dcterms:W3CDTF">2026-01-08T14:33:00Z</dcterms:modified>
</cp:coreProperties>
</file>