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78BF9" w14:textId="77777777" w:rsidR="00AF7D61" w:rsidRDefault="00346AEC">
      <w:r>
        <w:rPr>
          <w:rFonts w:ascii="Arial" w:eastAsia="Arial" w:hAnsi="Arial" w:cs="Arial"/>
          <w:b/>
          <w:bCs/>
          <w:color w:val="E6007E"/>
          <w:sz w:val="32"/>
          <w:szCs w:val="32"/>
        </w:rPr>
        <w:t>G12++ Prep Programme — Data Challenge</w:t>
      </w:r>
    </w:p>
    <w:p w14:paraId="22A1DDBF" w14:textId="77777777" w:rsidR="00AF7D61" w:rsidRDefault="00346AEC">
      <w:pPr>
        <w:spacing w:after="200"/>
      </w:pPr>
      <w:r>
        <w:rPr>
          <w:rFonts w:ascii="Arial" w:eastAsia="Arial" w:hAnsi="Arial" w:cs="Arial"/>
          <w:i/>
          <w:iCs/>
          <w:color w:val="3C3C46"/>
          <w:sz w:val="18"/>
          <w:szCs w:val="18"/>
        </w:rPr>
        <w:t>Tasks 2–4: Analyse, Protect, Plan   ·   Cohort 1, February 2027   ·   All learner data synthetic</w:t>
      </w:r>
    </w:p>
    <w:p w14:paraId="36C4BFD4" w14:textId="77777777" w:rsidR="00AF7D61" w:rsidRDefault="00346AEC">
      <w:pPr>
        <w:pStyle w:val="Heading1"/>
        <w:spacing w:before="160" w:after="80"/>
      </w:pPr>
      <w:r>
        <w:rPr>
          <w:rFonts w:ascii="Arial" w:eastAsia="Arial" w:hAnsi="Arial" w:cs="Arial"/>
          <w:b/>
          <w:bCs/>
          <w:color w:val="E6007E"/>
          <w:sz w:val="26"/>
          <w:szCs w:val="26"/>
        </w:rPr>
        <w:t>2. Analyse</w:t>
      </w:r>
    </w:p>
    <w:p w14:paraId="350000E2" w14:textId="77777777" w:rsidR="00AF7D61" w:rsidRDefault="00346AEC">
      <w:pPr>
        <w:pStyle w:val="Heading2"/>
        <w:spacing w:before="120" w:after="60"/>
      </w:pPr>
      <w:r>
        <w:rPr>
          <w:rFonts w:ascii="Arial" w:eastAsia="Arial" w:hAnsi="Arial" w:cs="Arial"/>
          <w:b/>
          <w:bCs/>
          <w:color w:val="3C3C46"/>
          <w:sz w:val="21"/>
          <w:szCs w:val="21"/>
        </w:rPr>
        <w:t>What the data tells us</w:t>
      </w:r>
    </w:p>
    <w:p w14:paraId="5C2EA1E9" w14:textId="77777777" w:rsidR="00AF7D61" w:rsidRDefault="00346AEC">
      <w:pPr>
        <w:spacing w:after="90"/>
      </w:pPr>
      <w:r>
        <w:rPr>
          <w:rFonts w:ascii="Arial" w:eastAsia="Arial" w:hAnsi="Arial" w:cs="Arial"/>
        </w:rPr>
        <w:t>60 unique learners across three NGOs after cleaning (NGO-A: 25, NGO-B: 20, NGO-C: 15). The funnel from registration to mock exam drops sharply and unevenly by NGO:</w:t>
      </w:r>
    </w:p>
    <w:tbl>
      <w:tblPr>
        <w:tblW w:w="900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ook w:val="04A0" w:firstRow="1" w:lastRow="0" w:firstColumn="1" w:lastColumn="0" w:noHBand="0" w:noVBand="1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 w:rsidR="00AF7D61" w14:paraId="3AF4210A" w14:textId="77777777">
        <w:trPr>
          <w:tblHeader/>
        </w:trPr>
        <w:tc>
          <w:tcPr>
            <w:tcW w:w="1125" w:type="dxa"/>
            <w:shd w:val="clear" w:color="auto" w:fill="E6007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065040" w14:textId="77777777" w:rsidR="00AF7D61" w:rsidRDefault="00346AEC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NGO</w:t>
            </w:r>
          </w:p>
        </w:tc>
        <w:tc>
          <w:tcPr>
            <w:tcW w:w="1125" w:type="dxa"/>
            <w:shd w:val="clear" w:color="auto" w:fill="E6007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414A3F" w14:textId="77777777" w:rsidR="00AF7D61" w:rsidRDefault="00346AEC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Registered</w:t>
            </w:r>
          </w:p>
        </w:tc>
        <w:tc>
          <w:tcPr>
            <w:tcW w:w="1125" w:type="dxa"/>
            <w:shd w:val="clear" w:color="auto" w:fill="E6007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C9FFB2" w14:textId="77777777" w:rsidR="00AF7D61" w:rsidRDefault="00346AEC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Password set</w:t>
            </w:r>
          </w:p>
        </w:tc>
        <w:tc>
          <w:tcPr>
            <w:tcW w:w="1125" w:type="dxa"/>
            <w:shd w:val="clear" w:color="auto" w:fill="E6007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631AF8" w14:textId="77777777" w:rsidR="00AF7D61" w:rsidRDefault="00346AEC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Orientation</w:t>
            </w:r>
          </w:p>
        </w:tc>
        <w:tc>
          <w:tcPr>
            <w:tcW w:w="1125" w:type="dxa"/>
            <w:shd w:val="clear" w:color="auto" w:fill="E6007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0E7017" w14:textId="77777777" w:rsidR="00AF7D61" w:rsidRDefault="00346AEC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Started topic</w:t>
            </w:r>
          </w:p>
        </w:tc>
        <w:tc>
          <w:tcPr>
            <w:tcW w:w="1125" w:type="dxa"/>
            <w:shd w:val="clear" w:color="auto" w:fill="E6007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EEED95" w14:textId="77777777" w:rsidR="00AF7D61" w:rsidRDefault="00346AEC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Completed subject</w:t>
            </w:r>
          </w:p>
        </w:tc>
        <w:tc>
          <w:tcPr>
            <w:tcW w:w="1125" w:type="dxa"/>
            <w:shd w:val="clear" w:color="auto" w:fill="E6007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1D550F" w14:textId="77777777" w:rsidR="00AF7D61" w:rsidRDefault="00346AEC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Took baseline</w:t>
            </w:r>
          </w:p>
        </w:tc>
        <w:tc>
          <w:tcPr>
            <w:tcW w:w="1125" w:type="dxa"/>
            <w:shd w:val="clear" w:color="auto" w:fill="E6007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54D173" w14:textId="77777777" w:rsidR="00AF7D61" w:rsidRDefault="00346AEC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Took mock</w:t>
            </w:r>
          </w:p>
        </w:tc>
      </w:tr>
      <w:tr w:rsidR="00AF7D61" w14:paraId="11117A83" w14:textId="77777777">
        <w:tc>
          <w:tcPr>
            <w:tcW w:w="11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A444A4" w14:textId="77777777" w:rsidR="00AF7D61" w:rsidRDefault="00346AEC">
            <w:r>
              <w:rPr>
                <w:rFonts w:ascii="Arial" w:eastAsia="Arial" w:hAnsi="Arial" w:cs="Arial"/>
                <w:color w:val="3C3C46"/>
                <w:sz w:val="16"/>
                <w:szCs w:val="16"/>
              </w:rPr>
              <w:t>NGO-A</w:t>
            </w:r>
          </w:p>
        </w:tc>
        <w:tc>
          <w:tcPr>
            <w:tcW w:w="11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EA1069" w14:textId="77777777" w:rsidR="00AF7D61" w:rsidRDefault="00346AEC">
            <w:r>
              <w:rPr>
                <w:rFonts w:ascii="Arial" w:eastAsia="Arial" w:hAnsi="Arial" w:cs="Arial"/>
                <w:color w:val="3C3C46"/>
                <w:sz w:val="16"/>
                <w:szCs w:val="16"/>
              </w:rPr>
              <w:t>25</w:t>
            </w:r>
          </w:p>
        </w:tc>
        <w:tc>
          <w:tcPr>
            <w:tcW w:w="11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8454E6" w14:textId="77777777" w:rsidR="00AF7D61" w:rsidRDefault="00346AEC">
            <w:r>
              <w:rPr>
                <w:rFonts w:ascii="Arial" w:eastAsia="Arial" w:hAnsi="Arial" w:cs="Arial"/>
                <w:color w:val="3C3C46"/>
                <w:sz w:val="16"/>
                <w:szCs w:val="16"/>
              </w:rPr>
              <w:t>24</w:t>
            </w:r>
          </w:p>
        </w:tc>
        <w:tc>
          <w:tcPr>
            <w:tcW w:w="11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B9E3B4" w14:textId="77777777" w:rsidR="00AF7D61" w:rsidRDefault="00346AEC">
            <w:r>
              <w:rPr>
                <w:rFonts w:ascii="Arial" w:eastAsia="Arial" w:hAnsi="Arial" w:cs="Arial"/>
                <w:color w:val="3C3C46"/>
                <w:sz w:val="16"/>
                <w:szCs w:val="16"/>
              </w:rPr>
              <w:t>22</w:t>
            </w:r>
          </w:p>
        </w:tc>
        <w:tc>
          <w:tcPr>
            <w:tcW w:w="11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615CA9" w14:textId="77777777" w:rsidR="00AF7D61" w:rsidRDefault="00346AEC">
            <w:r>
              <w:rPr>
                <w:rFonts w:ascii="Arial" w:eastAsia="Arial" w:hAnsi="Arial" w:cs="Arial"/>
                <w:color w:val="3C3C46"/>
                <w:sz w:val="16"/>
                <w:szCs w:val="16"/>
              </w:rPr>
              <w:t>17</w:t>
            </w:r>
          </w:p>
        </w:tc>
        <w:tc>
          <w:tcPr>
            <w:tcW w:w="11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2CAB4A" w14:textId="77777777" w:rsidR="00AF7D61" w:rsidRDefault="00346AEC">
            <w:r>
              <w:rPr>
                <w:rFonts w:ascii="Arial" w:eastAsia="Arial" w:hAnsi="Arial" w:cs="Arial"/>
                <w:color w:val="3C3C46"/>
                <w:sz w:val="16"/>
                <w:szCs w:val="16"/>
              </w:rPr>
              <w:t>13</w:t>
            </w:r>
          </w:p>
        </w:tc>
        <w:tc>
          <w:tcPr>
            <w:tcW w:w="11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B4254E" w14:textId="77777777" w:rsidR="00AF7D61" w:rsidRDefault="00346AEC">
            <w:r>
              <w:rPr>
                <w:rFonts w:ascii="Arial" w:eastAsia="Arial" w:hAnsi="Arial" w:cs="Arial"/>
                <w:color w:val="3C3C46"/>
                <w:sz w:val="16"/>
                <w:szCs w:val="16"/>
              </w:rPr>
              <w:t>21</w:t>
            </w:r>
          </w:p>
        </w:tc>
        <w:tc>
          <w:tcPr>
            <w:tcW w:w="11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07D8B5" w14:textId="77777777" w:rsidR="00AF7D61" w:rsidRDefault="00346AEC">
            <w:r>
              <w:rPr>
                <w:rFonts w:ascii="Arial" w:eastAsia="Arial" w:hAnsi="Arial" w:cs="Arial"/>
                <w:color w:val="3C3C46"/>
                <w:sz w:val="16"/>
                <w:szCs w:val="16"/>
              </w:rPr>
              <w:t>13 (52%)</w:t>
            </w:r>
          </w:p>
        </w:tc>
      </w:tr>
      <w:tr w:rsidR="00AF7D61" w14:paraId="75C91877" w14:textId="77777777">
        <w:tc>
          <w:tcPr>
            <w:tcW w:w="11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95B680" w14:textId="77777777" w:rsidR="00AF7D61" w:rsidRDefault="00346AEC">
            <w:r>
              <w:rPr>
                <w:rFonts w:ascii="Arial" w:eastAsia="Arial" w:hAnsi="Arial" w:cs="Arial"/>
                <w:color w:val="3C3C46"/>
                <w:sz w:val="16"/>
                <w:szCs w:val="16"/>
              </w:rPr>
              <w:t>NGO-B</w:t>
            </w:r>
          </w:p>
        </w:tc>
        <w:tc>
          <w:tcPr>
            <w:tcW w:w="11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872E36" w14:textId="77777777" w:rsidR="00AF7D61" w:rsidRDefault="00346AEC">
            <w:r>
              <w:rPr>
                <w:rFonts w:ascii="Arial" w:eastAsia="Arial" w:hAnsi="Arial" w:cs="Arial"/>
                <w:color w:val="3C3C46"/>
                <w:sz w:val="16"/>
                <w:szCs w:val="16"/>
              </w:rPr>
              <w:t>20</w:t>
            </w:r>
          </w:p>
        </w:tc>
        <w:tc>
          <w:tcPr>
            <w:tcW w:w="11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047BB3" w14:textId="77777777" w:rsidR="00AF7D61" w:rsidRDefault="00346AEC">
            <w:r>
              <w:rPr>
                <w:rFonts w:ascii="Arial" w:eastAsia="Arial" w:hAnsi="Arial" w:cs="Arial"/>
                <w:color w:val="3C3C46"/>
                <w:sz w:val="16"/>
                <w:szCs w:val="16"/>
              </w:rPr>
              <w:t>20</w:t>
            </w:r>
          </w:p>
        </w:tc>
        <w:tc>
          <w:tcPr>
            <w:tcW w:w="11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0A50B3" w14:textId="77777777" w:rsidR="00AF7D61" w:rsidRDefault="00346AEC">
            <w:r>
              <w:rPr>
                <w:rFonts w:ascii="Arial" w:eastAsia="Arial" w:hAnsi="Arial" w:cs="Arial"/>
                <w:color w:val="3C3C46"/>
                <w:sz w:val="16"/>
                <w:szCs w:val="16"/>
              </w:rPr>
              <w:t>15</w:t>
            </w:r>
          </w:p>
        </w:tc>
        <w:tc>
          <w:tcPr>
            <w:tcW w:w="11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C6D896" w14:textId="77777777" w:rsidR="00AF7D61" w:rsidRDefault="00346AEC">
            <w:r>
              <w:rPr>
                <w:rFonts w:ascii="Arial" w:eastAsia="Arial" w:hAnsi="Arial" w:cs="Arial"/>
                <w:color w:val="3C3C46"/>
                <w:sz w:val="16"/>
                <w:szCs w:val="16"/>
              </w:rPr>
              <w:t>10</w:t>
            </w:r>
          </w:p>
        </w:tc>
        <w:tc>
          <w:tcPr>
            <w:tcW w:w="11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6FF278" w14:textId="77777777" w:rsidR="00AF7D61" w:rsidRDefault="00346AEC">
            <w:r>
              <w:rPr>
                <w:rFonts w:ascii="Arial" w:eastAsia="Arial" w:hAnsi="Arial" w:cs="Arial"/>
                <w:color w:val="3C3C46"/>
                <w:sz w:val="16"/>
                <w:szCs w:val="16"/>
              </w:rPr>
              <w:t>5</w:t>
            </w:r>
          </w:p>
        </w:tc>
        <w:tc>
          <w:tcPr>
            <w:tcW w:w="11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B5C8BA" w14:textId="77777777" w:rsidR="00AF7D61" w:rsidRDefault="00346AEC">
            <w:r>
              <w:rPr>
                <w:rFonts w:ascii="Arial" w:eastAsia="Arial" w:hAnsi="Arial" w:cs="Arial"/>
                <w:color w:val="3C3C46"/>
                <w:sz w:val="16"/>
                <w:szCs w:val="16"/>
              </w:rPr>
              <w:t>15</w:t>
            </w:r>
          </w:p>
        </w:tc>
        <w:tc>
          <w:tcPr>
            <w:tcW w:w="11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E246F6" w14:textId="77777777" w:rsidR="00AF7D61" w:rsidRDefault="00346AEC">
            <w:r>
              <w:rPr>
                <w:rFonts w:ascii="Arial" w:eastAsia="Arial" w:hAnsi="Arial" w:cs="Arial"/>
                <w:color w:val="3C3C46"/>
                <w:sz w:val="16"/>
                <w:szCs w:val="16"/>
              </w:rPr>
              <w:t>4 (20%)</w:t>
            </w:r>
          </w:p>
        </w:tc>
      </w:tr>
      <w:tr w:rsidR="00AF7D61" w14:paraId="1D83EE7B" w14:textId="77777777">
        <w:tc>
          <w:tcPr>
            <w:tcW w:w="11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BC89E9" w14:textId="77777777" w:rsidR="00AF7D61" w:rsidRDefault="00346AEC">
            <w:r>
              <w:rPr>
                <w:rFonts w:ascii="Arial" w:eastAsia="Arial" w:hAnsi="Arial" w:cs="Arial"/>
                <w:color w:val="3C3C46"/>
                <w:sz w:val="16"/>
                <w:szCs w:val="16"/>
              </w:rPr>
              <w:t>NGO-C</w:t>
            </w:r>
          </w:p>
        </w:tc>
        <w:tc>
          <w:tcPr>
            <w:tcW w:w="11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039313" w14:textId="77777777" w:rsidR="00AF7D61" w:rsidRDefault="00346AEC">
            <w:r>
              <w:rPr>
                <w:rFonts w:ascii="Arial" w:eastAsia="Arial" w:hAnsi="Arial" w:cs="Arial"/>
                <w:color w:val="3C3C46"/>
                <w:sz w:val="16"/>
                <w:szCs w:val="16"/>
              </w:rPr>
              <w:t>15</w:t>
            </w:r>
          </w:p>
        </w:tc>
        <w:tc>
          <w:tcPr>
            <w:tcW w:w="11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2E1B2A" w14:textId="77777777" w:rsidR="00AF7D61" w:rsidRDefault="00346AEC">
            <w:r>
              <w:rPr>
                <w:rFonts w:ascii="Arial" w:eastAsia="Arial" w:hAnsi="Arial" w:cs="Arial"/>
                <w:color w:val="3C3C46"/>
                <w:sz w:val="16"/>
                <w:szCs w:val="16"/>
              </w:rPr>
              <w:t>9</w:t>
            </w:r>
          </w:p>
        </w:tc>
        <w:tc>
          <w:tcPr>
            <w:tcW w:w="11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D4FD3E" w14:textId="77777777" w:rsidR="00AF7D61" w:rsidRDefault="00346AEC">
            <w:r>
              <w:rPr>
                <w:rFonts w:ascii="Arial" w:eastAsia="Arial" w:hAnsi="Arial" w:cs="Arial"/>
                <w:color w:val="3C3C46"/>
                <w:sz w:val="16"/>
                <w:szCs w:val="16"/>
              </w:rPr>
              <w:t>7</w:t>
            </w:r>
          </w:p>
        </w:tc>
        <w:tc>
          <w:tcPr>
            <w:tcW w:w="11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03E4FA" w14:textId="77777777" w:rsidR="00AF7D61" w:rsidRDefault="00346AEC">
            <w:r>
              <w:rPr>
                <w:rFonts w:ascii="Arial" w:eastAsia="Arial" w:hAnsi="Arial" w:cs="Arial"/>
                <w:color w:val="3C3C46"/>
                <w:sz w:val="16"/>
                <w:szCs w:val="16"/>
              </w:rPr>
              <w:t>1</w:t>
            </w:r>
          </w:p>
        </w:tc>
        <w:tc>
          <w:tcPr>
            <w:tcW w:w="11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742029" w14:textId="77777777" w:rsidR="00AF7D61" w:rsidRDefault="00346AEC">
            <w:r>
              <w:rPr>
                <w:rFonts w:ascii="Arial" w:eastAsia="Arial" w:hAnsi="Arial" w:cs="Arial"/>
                <w:color w:val="3C3C46"/>
                <w:sz w:val="16"/>
                <w:szCs w:val="16"/>
              </w:rPr>
              <w:t>1</w:t>
            </w:r>
          </w:p>
        </w:tc>
        <w:tc>
          <w:tcPr>
            <w:tcW w:w="11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02C0D3" w14:textId="77777777" w:rsidR="00AF7D61" w:rsidRDefault="00346AEC">
            <w:r>
              <w:rPr>
                <w:rFonts w:ascii="Arial" w:eastAsia="Arial" w:hAnsi="Arial" w:cs="Arial"/>
                <w:color w:val="3C3C46"/>
                <w:sz w:val="16"/>
                <w:szCs w:val="16"/>
              </w:rPr>
              <w:t>6</w:t>
            </w:r>
          </w:p>
        </w:tc>
        <w:tc>
          <w:tcPr>
            <w:tcW w:w="11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AC4946" w14:textId="77777777" w:rsidR="00AF7D61" w:rsidRDefault="00346AEC">
            <w:r>
              <w:rPr>
                <w:rFonts w:ascii="Arial" w:eastAsia="Arial" w:hAnsi="Arial" w:cs="Arial"/>
                <w:color w:val="3C3C46"/>
                <w:sz w:val="16"/>
                <w:szCs w:val="16"/>
              </w:rPr>
              <w:t>0 (0%)</w:t>
            </w:r>
          </w:p>
        </w:tc>
      </w:tr>
      <w:tr w:rsidR="00AF7D61" w14:paraId="73A6D1C3" w14:textId="77777777">
        <w:tc>
          <w:tcPr>
            <w:tcW w:w="11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60954F" w14:textId="77777777" w:rsidR="00AF7D61" w:rsidRDefault="00346AEC">
            <w:r>
              <w:rPr>
                <w:rFonts w:ascii="Arial" w:eastAsia="Arial" w:hAnsi="Arial" w:cs="Arial"/>
                <w:color w:val="3C3C46"/>
                <w:sz w:val="16"/>
                <w:szCs w:val="16"/>
              </w:rPr>
              <w:t>All</w:t>
            </w:r>
          </w:p>
        </w:tc>
        <w:tc>
          <w:tcPr>
            <w:tcW w:w="11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4CF37B" w14:textId="77777777" w:rsidR="00AF7D61" w:rsidRDefault="00346AEC">
            <w:r>
              <w:rPr>
                <w:rFonts w:ascii="Arial" w:eastAsia="Arial" w:hAnsi="Arial" w:cs="Arial"/>
                <w:color w:val="3C3C46"/>
                <w:sz w:val="16"/>
                <w:szCs w:val="16"/>
              </w:rPr>
              <w:t>60</w:t>
            </w:r>
          </w:p>
        </w:tc>
        <w:tc>
          <w:tcPr>
            <w:tcW w:w="11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259238" w14:textId="77777777" w:rsidR="00AF7D61" w:rsidRDefault="00346AEC">
            <w:r>
              <w:rPr>
                <w:rFonts w:ascii="Arial" w:eastAsia="Arial" w:hAnsi="Arial" w:cs="Arial"/>
                <w:color w:val="3C3C46"/>
                <w:sz w:val="16"/>
                <w:szCs w:val="16"/>
              </w:rPr>
              <w:t>53</w:t>
            </w:r>
          </w:p>
        </w:tc>
        <w:tc>
          <w:tcPr>
            <w:tcW w:w="11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6754B2" w14:textId="77777777" w:rsidR="00AF7D61" w:rsidRDefault="00346AEC">
            <w:r>
              <w:rPr>
                <w:rFonts w:ascii="Arial" w:eastAsia="Arial" w:hAnsi="Arial" w:cs="Arial"/>
                <w:color w:val="3C3C46"/>
                <w:sz w:val="16"/>
                <w:szCs w:val="16"/>
              </w:rPr>
              <w:t>44</w:t>
            </w:r>
          </w:p>
        </w:tc>
        <w:tc>
          <w:tcPr>
            <w:tcW w:w="11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290F25" w14:textId="77777777" w:rsidR="00AF7D61" w:rsidRDefault="00346AEC">
            <w:r>
              <w:rPr>
                <w:rFonts w:ascii="Arial" w:eastAsia="Arial" w:hAnsi="Arial" w:cs="Arial"/>
                <w:color w:val="3C3C46"/>
                <w:sz w:val="16"/>
                <w:szCs w:val="16"/>
              </w:rPr>
              <w:t>28</w:t>
            </w:r>
          </w:p>
        </w:tc>
        <w:tc>
          <w:tcPr>
            <w:tcW w:w="11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370084" w14:textId="77777777" w:rsidR="00AF7D61" w:rsidRDefault="00346AEC">
            <w:r>
              <w:rPr>
                <w:rFonts w:ascii="Arial" w:eastAsia="Arial" w:hAnsi="Arial" w:cs="Arial"/>
                <w:color w:val="3C3C46"/>
                <w:sz w:val="16"/>
                <w:szCs w:val="16"/>
              </w:rPr>
              <w:t>19</w:t>
            </w:r>
          </w:p>
        </w:tc>
        <w:tc>
          <w:tcPr>
            <w:tcW w:w="11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1BAE61" w14:textId="77777777" w:rsidR="00AF7D61" w:rsidRDefault="00346AEC">
            <w:r>
              <w:rPr>
                <w:rFonts w:ascii="Arial" w:eastAsia="Arial" w:hAnsi="Arial" w:cs="Arial"/>
                <w:color w:val="3C3C46"/>
                <w:sz w:val="16"/>
                <w:szCs w:val="16"/>
              </w:rPr>
              <w:t>42</w:t>
            </w:r>
          </w:p>
        </w:tc>
        <w:tc>
          <w:tcPr>
            <w:tcW w:w="11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FDA4C4" w14:textId="77777777" w:rsidR="00AF7D61" w:rsidRDefault="00346AEC">
            <w:r>
              <w:rPr>
                <w:rFonts w:ascii="Arial" w:eastAsia="Arial" w:hAnsi="Arial" w:cs="Arial"/>
                <w:color w:val="3C3C46"/>
                <w:sz w:val="16"/>
                <w:szCs w:val="16"/>
              </w:rPr>
              <w:t>17 (28%)</w:t>
            </w:r>
          </w:p>
        </w:tc>
      </w:tr>
    </w:tbl>
    <w:p w14:paraId="61CA0885" w14:textId="77777777" w:rsidR="00AF7D61" w:rsidRDefault="00AF7D61">
      <w:pPr>
        <w:spacing w:after="40"/>
      </w:pPr>
    </w:p>
    <w:p w14:paraId="1EB5B8B3" w14:textId="77777777" w:rsidR="00AF7D61" w:rsidRDefault="00346AEC">
      <w:pPr>
        <w:pStyle w:val="ListParagraph"/>
        <w:numPr>
          <w:ilvl w:val="0"/>
          <w:numId w:val="1"/>
        </w:numPr>
        <w:spacing w:after="50"/>
      </w:pPr>
      <w:r>
        <w:rPr>
          <w:rFonts w:ascii="Arial" w:eastAsia="Arial" w:hAnsi="Arial" w:cs="Arial"/>
        </w:rPr>
        <w:t>NGO-C effectively stalled: 9 of 15 learners (60%) never engaged beyond registration — no topic, no test, nothing — and zero learners reached the mock exam. This is the single largest signal in the data.</w:t>
      </w:r>
    </w:p>
    <w:p w14:paraId="3C7B7176" w14:textId="77777777" w:rsidR="00AF7D61" w:rsidRDefault="00346AEC">
      <w:pPr>
        <w:pStyle w:val="ListParagraph"/>
        <w:numPr>
          <w:ilvl w:val="0"/>
          <w:numId w:val="1"/>
        </w:numPr>
        <w:spacing w:after="50"/>
      </w:pPr>
      <w:r>
        <w:rPr>
          <w:rFonts w:ascii="Arial" w:eastAsia="Arial" w:hAnsi="Arial" w:cs="Arial"/>
        </w:rPr>
        <w:t>NGO-B gets learners to the baseline well (15/20, 75%) but loses most of them before the mock (only 4/20, 20%) — a specific mid-funnel leak, not a registration problem.</w:t>
      </w:r>
    </w:p>
    <w:p w14:paraId="66BC8BD0" w14:textId="77777777" w:rsidR="00AF7D61" w:rsidRDefault="00346AEC">
      <w:pPr>
        <w:pStyle w:val="ListParagraph"/>
        <w:numPr>
          <w:ilvl w:val="0"/>
          <w:numId w:val="1"/>
        </w:numPr>
        <w:spacing w:after="50"/>
      </w:pPr>
      <w:r>
        <w:rPr>
          <w:rFonts w:ascii="Arial" w:eastAsia="Arial" w:hAnsi="Arial" w:cs="Arial"/>
        </w:rPr>
        <w:t>NGO-A converts best overall (13/25 reach the mock, 52%) and is the closest thing to a working funnel in this cohort.</w:t>
      </w:r>
    </w:p>
    <w:p w14:paraId="6A4CA37F" w14:textId="77777777" w:rsidR="00AF7D61" w:rsidRDefault="00346AEC">
      <w:pPr>
        <w:pStyle w:val="ListParagraph"/>
        <w:numPr>
          <w:ilvl w:val="0"/>
          <w:numId w:val="1"/>
        </w:numPr>
        <w:spacing w:after="50"/>
      </w:pPr>
      <w:r>
        <w:rPr>
          <w:rFonts w:ascii="Arial" w:eastAsia="Arial" w:hAnsi="Arial" w:cs="Arial"/>
        </w:rPr>
        <w:t>Device (phone vs laptop) does not explain the drop-off — 47% vs 44% of learners start a topic on each — so NGO-C's stall looks operational (onboarding, local support, connectivity), not a device/UX issue.</w:t>
      </w:r>
    </w:p>
    <w:p w14:paraId="19291F6C" w14:textId="77777777" w:rsidR="00AF7D61" w:rsidRDefault="00346AEC">
      <w:pPr>
        <w:pStyle w:val="ListParagraph"/>
        <w:numPr>
          <w:ilvl w:val="0"/>
          <w:numId w:val="1"/>
        </w:numPr>
        <w:spacing w:after="50"/>
      </w:pPr>
      <w:r>
        <w:rPr>
          <w:rFonts w:ascii="Arial" w:eastAsia="Arial" w:hAnsi="Arial" w:cs="Arial"/>
        </w:rPr>
        <w:t>For the 31 learners who sat both tests, learning gain is clearly positive: +14 to +18 percentage points on average (NGO-A: English +14.0, Maths +14.7; NGO-B: English +15.0, Maths +17.8). Real evidence the content works for learners who engage with it.</w:t>
      </w:r>
    </w:p>
    <w:p w14:paraId="59A7355E" w14:textId="77777777" w:rsidR="00AF7D61" w:rsidRDefault="00346AEC">
      <w:pPr>
        <w:pStyle w:val="Heading2"/>
        <w:spacing w:before="120" w:after="60"/>
      </w:pPr>
      <w:r>
        <w:rPr>
          <w:rFonts w:ascii="Arial" w:eastAsia="Arial" w:hAnsi="Arial" w:cs="Arial"/>
          <w:b/>
          <w:bCs/>
          <w:color w:val="3C3C46"/>
          <w:sz w:val="21"/>
          <w:szCs w:val="21"/>
        </w:rPr>
        <w:t>Data problems found, and how handled</w:t>
      </w:r>
    </w:p>
    <w:p w14:paraId="7EB74DC2" w14:textId="77777777" w:rsidR="00AF7D61" w:rsidRDefault="00346AEC">
      <w:pPr>
        <w:pStyle w:val="ListParagraph"/>
        <w:numPr>
          <w:ilvl w:val="0"/>
          <w:numId w:val="1"/>
        </w:numPr>
        <w:spacing w:after="50"/>
      </w:pPr>
      <w:r>
        <w:rPr>
          <w:rFonts w:ascii="Arial" w:eastAsia="Arial" w:hAnsi="Arial" w:cs="Arial"/>
        </w:rPr>
        <w:t>Duplicate learner row (dana.saleh@mail.example, two export snapshots with different progress) → collapsed to one row: earliest registration date, the higher value of every progress field (progress only increases), latest activity date.</w:t>
      </w:r>
    </w:p>
    <w:p w14:paraId="592EF9EB" w14:textId="77777777" w:rsidR="00AF7D61" w:rsidRDefault="00346AEC">
      <w:pPr>
        <w:pStyle w:val="ListParagraph"/>
        <w:numPr>
          <w:ilvl w:val="0"/>
          <w:numId w:val="1"/>
        </w:numPr>
        <w:spacing w:after="50"/>
      </w:pPr>
      <w:r>
        <w:rPr>
          <w:rFonts w:ascii="Arial" w:eastAsia="Arial" w:hAnsi="Arial" w:cs="Arial"/>
        </w:rPr>
        <w:t>Inconsistent emails between files (e.g. " Lina.Youssef@mail.example " — padded, mixed case, in the Questionmark export) → trimmed and lower-cased before joining. Left unfixed, 3 learners' scores would have silently failed to match.</w:t>
      </w:r>
    </w:p>
    <w:p w14:paraId="7A36A2AE" w14:textId="77777777" w:rsidR="00AF7D61" w:rsidRDefault="00346AEC">
      <w:pPr>
        <w:pStyle w:val="ListParagraph"/>
        <w:numPr>
          <w:ilvl w:val="0"/>
          <w:numId w:val="1"/>
        </w:numPr>
        <w:spacing w:after="50"/>
      </w:pPr>
      <w:r>
        <w:rPr>
          <w:rFonts w:ascii="Arial" w:eastAsia="Arial" w:hAnsi="Arial" w:cs="Arial"/>
        </w:rPr>
        <w:t>One impossible score: huda.aziz, Mock Mathematics = 112% → dropped as a data-entry/export error; her other valid scores were kept.</w:t>
      </w:r>
    </w:p>
    <w:p w14:paraId="1D0BE626" w14:textId="77777777" w:rsidR="00AF7D61" w:rsidRDefault="00346AEC">
      <w:pPr>
        <w:pStyle w:val="ListParagraph"/>
        <w:numPr>
          <w:ilvl w:val="0"/>
          <w:numId w:val="1"/>
        </w:numPr>
        <w:spacing w:after="50"/>
      </w:pPr>
      <w:r>
        <w:rPr>
          <w:rFonts w:ascii="Arial" w:eastAsia="Arial" w:hAnsi="Arial" w:cs="Arial"/>
        </w:rPr>
        <w:t>One score row for test.user@mail.example has no matching learner in the app export → dropped as a QA/test record.</w:t>
      </w:r>
    </w:p>
    <w:p w14:paraId="6C88F9DF" w14:textId="77777777" w:rsidR="00AF7D61" w:rsidRDefault="00346AEC">
      <w:pPr>
        <w:pStyle w:val="ListParagraph"/>
        <w:numPr>
          <w:ilvl w:val="0"/>
          <w:numId w:val="1"/>
        </w:numPr>
        <w:spacing w:after="50"/>
      </w:pPr>
      <w:r>
        <w:rPr>
          <w:rFonts w:ascii="Arial" w:eastAsia="Arial" w:hAnsi="Arial" w:cs="Arial"/>
        </w:rPr>
        <w:t>Checked explicitly for duplicate (learner, assessment, subject) score rows after normalising emails — found none, so no double-counted averages.</w:t>
      </w:r>
    </w:p>
    <w:p w14:paraId="5DE6D772" w14:textId="77777777" w:rsidR="00AF7D61" w:rsidRDefault="00346AEC">
      <w:pPr>
        <w:pStyle w:val="Heading2"/>
        <w:spacing w:before="120" w:after="60"/>
      </w:pPr>
      <w:r>
        <w:rPr>
          <w:rFonts w:ascii="Arial" w:eastAsia="Arial" w:hAnsi="Arial" w:cs="Arial"/>
          <w:b/>
          <w:bCs/>
          <w:color w:val="3C3C46"/>
          <w:sz w:val="21"/>
          <w:szCs w:val="21"/>
        </w:rPr>
        <w:t>How confident am I</w:t>
      </w:r>
    </w:p>
    <w:p w14:paraId="7BE41EEE" w14:textId="77777777" w:rsidR="00AF7D61" w:rsidRDefault="00346AEC">
      <w:pPr>
        <w:spacing w:after="90"/>
      </w:pPr>
      <w:r>
        <w:rPr>
          <w:rFonts w:ascii="Arial" w:eastAsia="Arial" w:hAnsi="Arial" w:cs="Arial"/>
        </w:rPr>
        <w:t>Funnel counts: high confidence — plain counts after the fixes above, covered by unit tests (tests/test_pipeline.py).</w:t>
      </w:r>
    </w:p>
    <w:p w14:paraId="79838D97" w14:textId="77777777" w:rsidR="00AF7D61" w:rsidRDefault="00346AEC">
      <w:pPr>
        <w:spacing w:after="90"/>
      </w:pPr>
      <w:r>
        <w:rPr>
          <w:rFonts w:ascii="Arial" w:eastAsia="Arial" w:hAnsi="Arial" w:cs="Arial"/>
        </w:rPr>
        <w:t>Learning gain: moderate confidence only. It is measured on the 31 of 60 learners who sat both tests — the most motivated, most-retained group. That is survivorship bias: we don't know the gain for the 43 who registered but never reached the mock, and NGO-C has zero data points at all, so "the programme works" really means "it works for the roughly half who stick with it." Per-NGO gain comparisons also rest on small samples (≤15 paired learners), so differences between NGO-A and NGO-B could be noise.</w:t>
      </w:r>
    </w:p>
    <w:p w14:paraId="46DBC0E2" w14:textId="77777777" w:rsidR="00AF7D61" w:rsidRDefault="00346AEC">
      <w:pPr>
        <w:pStyle w:val="Heading2"/>
        <w:spacing w:before="120" w:after="60"/>
      </w:pPr>
      <w:r>
        <w:rPr>
          <w:rFonts w:ascii="Arial" w:eastAsia="Arial" w:hAnsi="Arial" w:cs="Arial"/>
          <w:b/>
          <w:bCs/>
          <w:color w:val="3C3C46"/>
          <w:sz w:val="21"/>
          <w:szCs w:val="21"/>
        </w:rPr>
        <w:t>Two recommended product changes</w:t>
      </w:r>
    </w:p>
    <w:p w14:paraId="77836EA5" w14:textId="77777777" w:rsidR="00AF7D61" w:rsidRDefault="00346AEC">
      <w:pPr>
        <w:pStyle w:val="ListParagraph"/>
        <w:numPr>
          <w:ilvl w:val="0"/>
          <w:numId w:val="1"/>
        </w:numPr>
        <w:spacing w:after="50"/>
      </w:pPr>
      <w:r>
        <w:rPr>
          <w:rFonts w:ascii="Arial" w:eastAsia="Arial" w:hAnsi="Arial" w:cs="Arial"/>
        </w:rPr>
        <w:t>Close the registration → first-topic gap (53% of all learners never start a topic, and it is NGO-C's exact failure point): trigger an automatic nudge a few days after orientation if no topic has started, and add first-session telemetry (app opened, content downloaded, connectivity) so we can tell apart "didn't open the app" from "couldn't load content" — right now the data only shows the outcome, not the cause.</w:t>
      </w:r>
    </w:p>
    <w:p w14:paraId="0838BA43" w14:textId="77777777" w:rsidR="00AF7D61" w:rsidRDefault="00346AEC">
      <w:pPr>
        <w:pStyle w:val="ListParagraph"/>
        <w:numPr>
          <w:ilvl w:val="0"/>
          <w:numId w:val="1"/>
        </w:numPr>
        <w:spacing w:after="50"/>
      </w:pPr>
      <w:r>
        <w:rPr>
          <w:rFonts w:ascii="Arial" w:eastAsia="Arial" w:hAnsi="Arial" w:cs="Arial"/>
        </w:rPr>
        <w:t xml:space="preserve">Add a baseline → mock checkpoint for coordinators, not just learners, aimed first at NGO-B (75% reach baseline, only 20% reach mock — the sharpest single-stage drop in the data): a visible "on track for mock" </w:t>
      </w:r>
      <w:r>
        <w:rPr>
          <w:rFonts w:ascii="Arial" w:eastAsia="Arial" w:hAnsi="Arial" w:cs="Arial"/>
        </w:rPr>
        <w:lastRenderedPageBreak/>
        <w:t>flag per learner so an NGO can intervene in week 3, not discover the drop-off from a quarterly export in February.</w:t>
      </w:r>
    </w:p>
    <w:p w14:paraId="034E5BCF" w14:textId="77777777" w:rsidR="00AF7D61" w:rsidRDefault="00346AEC">
      <w:pPr>
        <w:pStyle w:val="Heading1"/>
        <w:spacing w:before="160" w:after="80"/>
      </w:pPr>
      <w:r>
        <w:rPr>
          <w:rFonts w:ascii="Arial" w:eastAsia="Arial" w:hAnsi="Arial" w:cs="Arial"/>
          <w:b/>
          <w:bCs/>
          <w:color w:val="E6007E"/>
          <w:sz w:val="26"/>
          <w:szCs w:val="26"/>
        </w:rPr>
        <w:t>3. Protect</w:t>
      </w:r>
    </w:p>
    <w:p w14:paraId="7024C1E7" w14:textId="77777777" w:rsidR="00AF7D61" w:rsidRDefault="00346AEC">
      <w:pPr>
        <w:spacing w:after="90"/>
      </w:pPr>
      <w:r>
        <w:rPr>
          <w:rFonts w:ascii="Arial" w:eastAsia="Arial" w:hAnsi="Arial" w:cs="Arial"/>
        </w:rPr>
        <w:t>Every learner in this dataset is a young person, registered through an NGO across several countries, and the combined files (name, phone, DOB, NGO, device, exam scores) are enough to fully identify and locate a specific minor and know exactly how they performed. That should be treated as sensitive children's data by default, regardless of which country's specific law applies.</w:t>
      </w:r>
    </w:p>
    <w:p w14:paraId="4D2FB37B" w14:textId="77777777" w:rsidR="00AF7D61" w:rsidRDefault="00346AEC">
      <w:pPr>
        <w:pStyle w:val="ListParagraph"/>
        <w:numPr>
          <w:ilvl w:val="0"/>
          <w:numId w:val="1"/>
        </w:numPr>
        <w:spacing w:after="50"/>
      </w:pPr>
      <w:r>
        <w:rPr>
          <w:rFonts w:ascii="Arial" w:eastAsia="Arial" w:hAnsi="Arial" w:cs="Arial"/>
        </w:rPr>
        <w:t>Minimise: analytics and dashboards (including the one built for this test) should run on a pseudonymous learner ID, never on full_name / phone / date_of_birth directly — those fields belong only in the app's own learner-profile store, not in any export used for reporting or analysis.</w:t>
      </w:r>
    </w:p>
    <w:p w14:paraId="3A054A21" w14:textId="77777777" w:rsidR="00AF7D61" w:rsidRDefault="00346AEC">
      <w:pPr>
        <w:pStyle w:val="ListParagraph"/>
        <w:numPr>
          <w:ilvl w:val="0"/>
          <w:numId w:val="1"/>
        </w:numPr>
        <w:spacing w:after="50"/>
      </w:pPr>
      <w:r>
        <w:rPr>
          <w:rFonts w:ascii="Arial" w:eastAsia="Arial" w:hAnsi="Arial" w:cs="Arial"/>
        </w:rPr>
        <w:t>Scope access: an NGO should only ever see its own learners (role-based access scoped by the ngo field); individual learner drill-down should be restricted to the coordinator role, with funders/leadership seeing NGO- and cohort-level aggregates only.</w:t>
      </w:r>
    </w:p>
    <w:p w14:paraId="77F9A2A9" w14:textId="77777777" w:rsidR="00AF7D61" w:rsidRDefault="00346AEC">
      <w:pPr>
        <w:pStyle w:val="ListParagraph"/>
        <w:numPr>
          <w:ilvl w:val="0"/>
          <w:numId w:val="1"/>
        </w:numPr>
        <w:spacing w:after="50"/>
      </w:pPr>
      <w:r>
        <w:rPr>
          <w:rFonts w:ascii="Arial" w:eastAsia="Arial" w:hAnsi="Arial" w:cs="Arial"/>
        </w:rPr>
        <w:t>Control the pipeline: routine flat-file CSV handoffs between the app, Questionmark and NGOs (like the ones used for this test) are themselves a privacy risk — replace with an access-controlled, logged pipeline/API, and treat any CSV that leaves that pipeline as a reportable event.</w:t>
      </w:r>
    </w:p>
    <w:p w14:paraId="3EE222F5" w14:textId="77777777" w:rsidR="00AF7D61" w:rsidRDefault="00346AEC">
      <w:pPr>
        <w:pStyle w:val="ListParagraph"/>
        <w:numPr>
          <w:ilvl w:val="0"/>
          <w:numId w:val="1"/>
        </w:numPr>
        <w:spacing w:after="50"/>
      </w:pPr>
      <w:r>
        <w:rPr>
          <w:rFonts w:ascii="Arial" w:eastAsia="Arial" w:hAnsi="Arial" w:cs="Arial"/>
        </w:rPr>
        <w:t>Vendor risk: Questionmark is a data processor — confirm a data processing agreement restricting them from retaining or reusing learner data beyond returning scores, and apply the same standard to any analytics/BI tool used downstream.</w:t>
      </w:r>
    </w:p>
    <w:p w14:paraId="0463EAB2" w14:textId="77777777" w:rsidR="00AF7D61" w:rsidRDefault="00346AEC">
      <w:pPr>
        <w:pStyle w:val="ListParagraph"/>
        <w:numPr>
          <w:ilvl w:val="0"/>
          <w:numId w:val="1"/>
        </w:numPr>
        <w:spacing w:after="50"/>
      </w:pPr>
      <w:r>
        <w:rPr>
          <w:rFonts w:ascii="Arial" w:eastAsia="Arial" w:hAnsi="Arial" w:cs="Arial"/>
        </w:rPr>
        <w:t>Cross-border transfer: confirm where learner data is hosted and processed against each partner country's child-data rules, and prefer regional data residency where that's required rather than one global store by default.</w:t>
      </w:r>
    </w:p>
    <w:p w14:paraId="082F7267" w14:textId="77777777" w:rsidR="00AF7D61" w:rsidRDefault="00346AEC">
      <w:pPr>
        <w:pStyle w:val="ListParagraph"/>
        <w:numPr>
          <w:ilvl w:val="0"/>
          <w:numId w:val="1"/>
        </w:numPr>
        <w:spacing w:after="50"/>
      </w:pPr>
      <w:r>
        <w:rPr>
          <w:rFonts w:ascii="Arial" w:eastAsia="Arial" w:hAnsi="Arial" w:cs="Arial"/>
        </w:rPr>
        <w:t>Retention: define and enforce a retention window for raw PII (e.g. deleted a fixed period after a learner exits the programme), keeping only pseudonymised, aggregated metrics for longer-term reporting; give NGOs a deletion-request path on behalf of a learner or guardian.</w:t>
      </w:r>
    </w:p>
    <w:p w14:paraId="1F4494B0" w14:textId="77777777" w:rsidR="00AF7D61" w:rsidRDefault="00346AEC">
      <w:r>
        <w:br w:type="page"/>
      </w:r>
    </w:p>
    <w:p w14:paraId="2508F16A" w14:textId="77777777" w:rsidR="00AF7D61" w:rsidRDefault="00346AEC">
      <w:pPr>
        <w:pStyle w:val="Heading1"/>
        <w:spacing w:before="160" w:after="80"/>
      </w:pPr>
      <w:r>
        <w:rPr>
          <w:rFonts w:ascii="Arial" w:eastAsia="Arial" w:hAnsi="Arial" w:cs="Arial"/>
          <w:b/>
          <w:bCs/>
          <w:color w:val="E6007E"/>
          <w:sz w:val="26"/>
          <w:szCs w:val="26"/>
        </w:rPr>
        <w:lastRenderedPageBreak/>
        <w:t>4. Plan — growing from 150 to 750 participants in 12 months</w:t>
      </w:r>
    </w:p>
    <w:p w14:paraId="6322424D" w14:textId="77777777" w:rsidR="00AF7D61" w:rsidRDefault="00346AEC">
      <w:pPr>
        <w:pStyle w:val="Heading2"/>
        <w:spacing w:before="120" w:after="60"/>
      </w:pPr>
      <w:r>
        <w:rPr>
          <w:rFonts w:ascii="Arial" w:eastAsia="Arial" w:hAnsi="Arial" w:cs="Arial"/>
          <w:b/>
          <w:bCs/>
          <w:color w:val="3C3C46"/>
          <w:sz w:val="21"/>
          <w:szCs w:val="21"/>
        </w:rPr>
        <w:t>Priorities</w:t>
      </w:r>
    </w:p>
    <w:p w14:paraId="34567929" w14:textId="77777777" w:rsidR="00AF7D61" w:rsidRDefault="00346AEC">
      <w:pPr>
        <w:pStyle w:val="ListParagraph"/>
        <w:numPr>
          <w:ilvl w:val="0"/>
          <w:numId w:val="1"/>
        </w:numPr>
        <w:spacing w:after="50"/>
      </w:pPr>
      <w:r>
        <w:rPr>
          <w:rFonts w:ascii="Arial" w:eastAsia="Arial" w:hAnsi="Arial" w:cs="Arial"/>
        </w:rPr>
        <w:t>Fix what is already broken before multiplying it: NGO-C's stall and NGO-B's baseline→mock leak are operational problems visible today at 150 learners — scaling 5× without fixing them scales the failure, not the programme.</w:t>
      </w:r>
    </w:p>
    <w:p w14:paraId="7472F707" w14:textId="77777777" w:rsidR="00AF7D61" w:rsidRDefault="00346AEC">
      <w:pPr>
        <w:pStyle w:val="ListParagraph"/>
        <w:numPr>
          <w:ilvl w:val="0"/>
          <w:numId w:val="1"/>
        </w:numPr>
        <w:spacing w:after="50"/>
      </w:pPr>
      <w:r>
        <w:rPr>
          <w:rFonts w:ascii="Arial" w:eastAsia="Arial" w:hAnsi="Arial" w:cs="Arial"/>
        </w:rPr>
        <w:t>Instrument the funnel in near-real-time, per NGO, so a coordinator can act in week 3, not find out from a quarterly CSV export.</w:t>
      </w:r>
    </w:p>
    <w:p w14:paraId="797BBF46" w14:textId="77777777" w:rsidR="00AF7D61" w:rsidRDefault="00346AEC">
      <w:pPr>
        <w:pStyle w:val="ListParagraph"/>
        <w:numPr>
          <w:ilvl w:val="0"/>
          <w:numId w:val="1"/>
        </w:numPr>
        <w:spacing w:after="50"/>
      </w:pPr>
      <w:r>
        <w:rPr>
          <w:rFonts w:ascii="Arial" w:eastAsia="Arial" w:hAnsi="Arial" w:cs="Arial"/>
        </w:rPr>
        <w:t>Turn what works at NGO-A (the best-converting funnel in the data) into a repeatable onboarding playbook for new NGO partners, instead of each NGO re-inventing its own process.</w:t>
      </w:r>
    </w:p>
    <w:p w14:paraId="1B65EAD3" w14:textId="77777777" w:rsidR="00AF7D61" w:rsidRDefault="00346AEC">
      <w:pPr>
        <w:pStyle w:val="ListParagraph"/>
        <w:numPr>
          <w:ilvl w:val="0"/>
          <w:numId w:val="1"/>
        </w:numPr>
        <w:spacing w:after="50"/>
      </w:pPr>
      <w:r>
        <w:rPr>
          <w:rFonts w:ascii="Arial" w:eastAsia="Arial" w:hAnsi="Arial" w:cs="Arial"/>
        </w:rPr>
        <w:t>Productise the funnel + learning-gain view built for this test into a real NGO-facing reporting feature, rather than a one-off analysis artifact.</w:t>
      </w:r>
    </w:p>
    <w:p w14:paraId="2FEE6703" w14:textId="77777777" w:rsidR="00AF7D61" w:rsidRDefault="00346AEC">
      <w:pPr>
        <w:pStyle w:val="Heading2"/>
        <w:spacing w:before="120" w:after="60"/>
      </w:pPr>
      <w:r>
        <w:rPr>
          <w:rFonts w:ascii="Arial" w:eastAsia="Arial" w:hAnsi="Arial" w:cs="Arial"/>
          <w:b/>
          <w:bCs/>
          <w:color w:val="3C3C46"/>
          <w:sz w:val="21"/>
          <w:szCs w:val="21"/>
        </w:rPr>
        <w:t>What I would not do</w:t>
      </w:r>
    </w:p>
    <w:p w14:paraId="67F2A711" w14:textId="77777777" w:rsidR="00AF7D61" w:rsidRDefault="00346AEC">
      <w:pPr>
        <w:pStyle w:val="ListParagraph"/>
        <w:numPr>
          <w:ilvl w:val="0"/>
          <w:numId w:val="1"/>
        </w:numPr>
        <w:spacing w:after="50"/>
      </w:pPr>
      <w:r>
        <w:rPr>
          <w:rFonts w:ascii="Arial" w:eastAsia="Arial" w:hAnsi="Arial" w:cs="Arial"/>
        </w:rPr>
        <w:t>Not onboard new NGOs or learners ahead of shipping the funnel fixes and real-time reporting above — adding scale to a broken funnel multiplies drop-off, not outcomes.</w:t>
      </w:r>
    </w:p>
    <w:p w14:paraId="6300343B" w14:textId="77777777" w:rsidR="00AF7D61" w:rsidRDefault="00346AEC">
      <w:pPr>
        <w:pStyle w:val="ListParagraph"/>
        <w:numPr>
          <w:ilvl w:val="0"/>
          <w:numId w:val="1"/>
        </w:numPr>
        <w:spacing w:after="50"/>
      </w:pPr>
      <w:r>
        <w:rPr>
          <w:rFonts w:ascii="Arial" w:eastAsia="Arial" w:hAnsi="Arial" w:cs="Arial"/>
        </w:rPr>
        <w:t>Not build a general-purpose BI/analytics platform — keep reporting scoped to the funnel and learning-gain views NGOs have actually needed so far; no speculative dashboards nobody asked for.</w:t>
      </w:r>
    </w:p>
    <w:p w14:paraId="19E09B58" w14:textId="77777777" w:rsidR="00AF7D61" w:rsidRDefault="00346AEC">
      <w:pPr>
        <w:pStyle w:val="ListParagraph"/>
        <w:numPr>
          <w:ilvl w:val="0"/>
          <w:numId w:val="1"/>
        </w:numPr>
        <w:spacing w:after="50"/>
      </w:pPr>
      <w:r>
        <w:rPr>
          <w:rFonts w:ascii="Arial" w:eastAsia="Arial" w:hAnsi="Arial" w:cs="Arial"/>
        </w:rPr>
        <w:t>Not keep manual/periodic CSV exports as the Questionmark↔app integration at 5× scale and more countries — it will not hold up operationally or for privacy (see Task 3).</w:t>
      </w:r>
    </w:p>
    <w:p w14:paraId="58B445A0" w14:textId="77777777" w:rsidR="00AF7D61" w:rsidRDefault="00346AEC">
      <w:pPr>
        <w:pStyle w:val="Heading2"/>
        <w:spacing w:before="120" w:after="60"/>
      </w:pPr>
      <w:r>
        <w:rPr>
          <w:rFonts w:ascii="Arial" w:eastAsia="Arial" w:hAnsi="Arial" w:cs="Arial"/>
          <w:b/>
          <w:bCs/>
          <w:color w:val="3C3C46"/>
          <w:sz w:val="21"/>
          <w:szCs w:val="21"/>
        </w:rPr>
        <w:t>How I would measure success</w:t>
      </w:r>
    </w:p>
    <w:p w14:paraId="16DFEFFB" w14:textId="77777777" w:rsidR="00AF7D61" w:rsidRDefault="00346AEC">
      <w:pPr>
        <w:pStyle w:val="ListParagraph"/>
        <w:numPr>
          <w:ilvl w:val="0"/>
          <w:numId w:val="1"/>
        </w:numPr>
        <w:spacing w:after="50"/>
      </w:pPr>
      <w:r>
        <w:rPr>
          <w:rFonts w:ascii="Arial" w:eastAsia="Arial" w:hAnsi="Arial" w:cs="Arial"/>
        </w:rPr>
        <w:t>Primary: % of registered learners reaching the mock exam, per NGO, tracked monthly — today 28% overall and 0% for NGO-C.</w:t>
      </w:r>
    </w:p>
    <w:p w14:paraId="28063665" w14:textId="77777777" w:rsidR="00AF7D61" w:rsidRDefault="00346AEC">
      <w:pPr>
        <w:pStyle w:val="ListParagraph"/>
        <w:numPr>
          <w:ilvl w:val="0"/>
          <w:numId w:val="1"/>
        </w:numPr>
        <w:spacing w:after="50"/>
      </w:pPr>
      <w:r>
        <w:rPr>
          <w:rFonts w:ascii="Arial" w:eastAsia="Arial" w:hAnsi="Arial" w:cs="Arial"/>
        </w:rPr>
        <w:t>Secondary: average learning gain among mock-takers, and the share of registered learners who become mock-takers with a valid paired score — directly closing the survivorship-bias gap identified in Task 2.</w:t>
      </w:r>
    </w:p>
    <w:p w14:paraId="11617BBD" w14:textId="77777777" w:rsidR="00AF7D61" w:rsidRDefault="00346AEC">
      <w:pPr>
        <w:pStyle w:val="ListParagraph"/>
        <w:numPr>
          <w:ilvl w:val="0"/>
          <w:numId w:val="1"/>
        </w:numPr>
        <w:spacing w:after="50"/>
      </w:pPr>
      <w:r>
        <w:rPr>
          <w:rFonts w:ascii="Arial" w:eastAsia="Arial" w:hAnsi="Arial" w:cs="Arial"/>
        </w:rPr>
        <w:t>Leading indicator: time from registration to first topic started, per NGO — detects an NGO-C-style stall weeks before the mock-exam outcome would reveal it.</w:t>
      </w:r>
    </w:p>
    <w:p w14:paraId="63D4BA3B" w14:textId="77777777" w:rsidR="00AF7D61" w:rsidRDefault="00346AEC">
      <w:pPr>
        <w:pStyle w:val="Heading2"/>
        <w:spacing w:before="120" w:after="60"/>
      </w:pPr>
      <w:r>
        <w:rPr>
          <w:rFonts w:ascii="Arial" w:eastAsia="Arial" w:hAnsi="Arial" w:cs="Arial"/>
          <w:b/>
          <w:bCs/>
          <w:color w:val="3C3C46"/>
          <w:sz w:val="21"/>
          <w:szCs w:val="21"/>
        </w:rPr>
        <w:t>Testing whether NGOs would pay for reporting</w:t>
      </w:r>
    </w:p>
    <w:p w14:paraId="72F94897" w14:textId="77777777" w:rsidR="00AF7D61" w:rsidRDefault="00346AEC">
      <w:pPr>
        <w:pStyle w:val="ListParagraph"/>
        <w:numPr>
          <w:ilvl w:val="0"/>
          <w:numId w:val="1"/>
        </w:numPr>
        <w:spacing w:after="50"/>
      </w:pPr>
      <w:r>
        <w:rPr>
          <w:rFonts w:ascii="Arial" w:eastAsia="Arial" w:hAnsi="Arial" w:cs="Arial"/>
        </w:rPr>
        <w:t>Ship the funnel + learning-gain dashboard built for this test as a free, lightweight feature at the current 150-learner scale, instrumented to see whether coordinators actually open it and act on it.</w:t>
      </w:r>
    </w:p>
    <w:p w14:paraId="6062BCEB" w14:textId="77777777" w:rsidR="00AF7D61" w:rsidRDefault="00346AEC">
      <w:pPr>
        <w:pStyle w:val="ListParagraph"/>
        <w:numPr>
          <w:ilvl w:val="0"/>
          <w:numId w:val="1"/>
        </w:numPr>
        <w:spacing w:after="50"/>
      </w:pPr>
      <w:r>
        <w:rPr>
          <w:rFonts w:ascii="Arial" w:eastAsia="Arial" w:hAnsi="Arial" w:cs="Arial"/>
        </w:rPr>
        <w:t>Run a willingness-to-pay pilot with one or two NGOs: offer a paid tier for features they ask for directly (export/API access, a weekly digest, individual-learner drill-down) and see whether they adopt or stall on it.</w:t>
      </w:r>
    </w:p>
    <w:p w14:paraId="46F66B26" w14:textId="77777777" w:rsidR="00AF7D61" w:rsidRDefault="00346AEC">
      <w:pPr>
        <w:pStyle w:val="ListParagraph"/>
        <w:numPr>
          <w:ilvl w:val="0"/>
          <w:numId w:val="1"/>
        </w:numPr>
        <w:spacing w:after="50"/>
      </w:pPr>
      <w:r>
        <w:rPr>
          <w:rFonts w:ascii="Arial" w:eastAsia="Arial" w:hAnsi="Arial" w:cs="Arial"/>
        </w:rPr>
        <w:t>Treat unprompted use — a coordinator checking the dashboard weekly and raising an NGO-C-style stall with us before we spot it — as the real signal of willingness to pay; a feature nobody opens will not convert, whatever an interview suggests.</w:t>
      </w:r>
    </w:p>
    <w:sectPr w:rsidR="00AF7D61">
      <w:pgSz w:w="12240" w:h="15840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26E1"/>
    <w:multiLevelType w:val="hybridMultilevel"/>
    <w:tmpl w:val="48229376"/>
    <w:lvl w:ilvl="0" w:tplc="946C61E6">
      <w:start w:val="1"/>
      <w:numFmt w:val="bullet"/>
      <w:lvlText w:val="●"/>
      <w:lvlJc w:val="left"/>
      <w:pPr>
        <w:ind w:left="720" w:hanging="360"/>
      </w:pPr>
    </w:lvl>
    <w:lvl w:ilvl="1" w:tplc="344A7422" w:tentative="1">
      <w:start w:val="1"/>
      <w:numFmt w:val="bullet"/>
      <w:lvlText w:val="○"/>
      <w:lvlJc w:val="left"/>
      <w:pPr>
        <w:ind w:left="1440" w:hanging="360"/>
      </w:pPr>
    </w:lvl>
    <w:lvl w:ilvl="2" w:tplc="B36240E4" w:tentative="1">
      <w:start w:val="1"/>
      <w:numFmt w:val="bullet"/>
      <w:lvlText w:val="■"/>
      <w:lvlJc w:val="left"/>
      <w:pPr>
        <w:ind w:left="2160" w:hanging="360"/>
      </w:pPr>
    </w:lvl>
    <w:lvl w:ilvl="3" w:tplc="EB7C88E6" w:tentative="1">
      <w:start w:val="1"/>
      <w:numFmt w:val="bullet"/>
      <w:lvlText w:val="●"/>
      <w:lvlJc w:val="left"/>
      <w:pPr>
        <w:ind w:left="2880" w:hanging="360"/>
      </w:pPr>
    </w:lvl>
    <w:lvl w:ilvl="4" w:tplc="66D21F6A" w:tentative="1">
      <w:start w:val="1"/>
      <w:numFmt w:val="bullet"/>
      <w:lvlText w:val="○"/>
      <w:lvlJc w:val="left"/>
      <w:pPr>
        <w:ind w:left="3600" w:hanging="360"/>
      </w:pPr>
    </w:lvl>
    <w:lvl w:ilvl="5" w:tplc="837EF014" w:tentative="1">
      <w:start w:val="1"/>
      <w:numFmt w:val="bullet"/>
      <w:lvlText w:val="■"/>
      <w:lvlJc w:val="left"/>
      <w:pPr>
        <w:ind w:left="4320" w:hanging="360"/>
      </w:pPr>
    </w:lvl>
    <w:lvl w:ilvl="6" w:tplc="C0A63868" w:tentative="1">
      <w:start w:val="1"/>
      <w:numFmt w:val="bullet"/>
      <w:lvlText w:val="●"/>
      <w:lvlJc w:val="left"/>
      <w:pPr>
        <w:ind w:left="5040" w:hanging="360"/>
      </w:pPr>
    </w:lvl>
    <w:lvl w:ilvl="7" w:tplc="6756BAD2" w:tentative="1">
      <w:start w:val="1"/>
      <w:numFmt w:val="bullet"/>
      <w:lvlText w:val="●"/>
      <w:lvlJc w:val="left"/>
      <w:pPr>
        <w:ind w:left="5760" w:hanging="360"/>
      </w:pPr>
    </w:lvl>
    <w:lvl w:ilvl="8" w:tplc="A1B8AA4A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43814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7D61"/>
    <w:rsid w:val="00134B6A"/>
    <w:rsid w:val="001C42AF"/>
    <w:rsid w:val="00346AEC"/>
    <w:rsid w:val="00AF7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11AF32"/>
  <w15:docId w15:val="{FEDA0C75-875D-4BEA-9B72-B6FB1D647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1334</Words>
  <Characters>6938</Characters>
  <Application>Microsoft Office Word</Application>
  <DocSecurity>0</DocSecurity>
  <Lines>148</Lines>
  <Paragraphs>88</Paragraphs>
  <ScaleCrop>false</ScaleCrop>
  <Company/>
  <LinksUpToDate>false</LinksUpToDate>
  <CharactersWithSpaces>8216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Nabil Abdoun</cp:lastModifiedBy>
  <cp:revision>2</cp:revision>
  <cp:lastPrinted>2026-10-23T20:53:00Z</cp:lastPrinted>
  <dcterms:created xsi:type="dcterms:W3CDTF">2026-10-23T20:52:00Z</dcterms:created>
  <dcterms:modified xsi:type="dcterms:W3CDTF">2026-10-23T20:53:00Z</dcterms:modified>
</cp:coreProperties>
</file>