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23" w:rsidRPr="00107B3A" w:rsidRDefault="00675423" w:rsidP="00675423">
      <w:pPr>
        <w:pBdr>
          <w:top w:val="single" w:sz="4" w:space="1" w:color="auto"/>
          <w:bottom w:val="single" w:sz="4" w:space="1" w:color="auto"/>
        </w:pBdr>
        <w:rPr>
          <w:rFonts w:ascii="Trebuchet MS" w:hAnsi="Trebuchet MS" w:cs="Trebuchet MS"/>
          <w:b/>
        </w:rPr>
      </w:pPr>
      <w:r w:rsidRPr="00107B3A">
        <w:rPr>
          <w:rFonts w:ascii="Trebuchet MS" w:hAnsi="Trebuchet MS" w:cs="Trebuchet MS"/>
          <w:b/>
        </w:rPr>
        <w:t xml:space="preserve">Week </w:t>
      </w:r>
      <w:r>
        <w:rPr>
          <w:rFonts w:ascii="Trebuchet MS" w:hAnsi="Trebuchet MS" w:cs="Trebuchet MS"/>
          <w:b/>
        </w:rPr>
        <w:t>3</w:t>
      </w:r>
      <w:r w:rsidRPr="00107B3A">
        <w:rPr>
          <w:rFonts w:ascii="Trebuchet MS" w:hAnsi="Trebuchet MS" w:cs="Trebuchet MS"/>
          <w:b/>
        </w:rPr>
        <w:t xml:space="preserve"> – </w:t>
      </w:r>
      <w:r w:rsidRPr="00B56D79">
        <w:rPr>
          <w:rFonts w:ascii="Trebuchet MS" w:hAnsi="Trebuchet MS" w:cs="Trebuchet MS"/>
          <w:b/>
        </w:rPr>
        <w:t xml:space="preserve">Case study: </w:t>
      </w:r>
      <w:r>
        <w:rPr>
          <w:rFonts w:ascii="Trebuchet MS" w:hAnsi="Trebuchet MS" w:cs="Trebuchet MS"/>
          <w:b/>
        </w:rPr>
        <w:t>Holiday property investment</w:t>
      </w:r>
      <w:r>
        <w:rPr>
          <w:rFonts w:ascii="Trebuchet MS" w:hAnsi="Trebuchet MS" w:cs="Trebuchet MS"/>
          <w:b/>
        </w:rPr>
        <w:tab/>
        <w:t xml:space="preserve">     BN2255</w:t>
      </w:r>
      <w:r w:rsidRPr="00107B3A">
        <w:rPr>
          <w:rFonts w:ascii="Trebuchet MS" w:hAnsi="Trebuchet MS" w:cs="Trebuchet MS"/>
          <w:b/>
        </w:rPr>
        <w:t xml:space="preserve"> Business Analytics</w:t>
      </w:r>
      <w:r>
        <w:rPr>
          <w:rFonts w:ascii="Trebuchet MS" w:hAnsi="Trebuchet MS" w:cs="Trebuchet MS"/>
          <w:b/>
        </w:rPr>
        <w:t xml:space="preserve"> in practice</w:t>
      </w:r>
    </w:p>
    <w:p w:rsidR="00675423" w:rsidRDefault="00675423" w:rsidP="00675423">
      <w:pPr>
        <w:rPr>
          <w:sz w:val="24"/>
          <w:szCs w:val="24"/>
        </w:rPr>
      </w:pPr>
      <w:r>
        <w:rPr>
          <w:sz w:val="24"/>
          <w:szCs w:val="24"/>
        </w:rPr>
        <w:t>‘Homes in the Sun’ plc is a</w:t>
      </w:r>
      <w:r w:rsidRPr="00B56D79">
        <w:rPr>
          <w:sz w:val="24"/>
          <w:szCs w:val="24"/>
        </w:rPr>
        <w:t xml:space="preserve"> </w:t>
      </w:r>
      <w:r>
        <w:rPr>
          <w:sz w:val="24"/>
          <w:szCs w:val="24"/>
        </w:rPr>
        <w:t>newly formed company that is investing in properties in popular holiday destinations with the aim of renting them out to holidaymakers in the UK and abroad</w:t>
      </w:r>
      <w:r w:rsidR="00C00BFD">
        <w:rPr>
          <w:sz w:val="24"/>
          <w:szCs w:val="24"/>
        </w:rPr>
        <w:t xml:space="preserve"> during the summer months and September</w:t>
      </w:r>
      <w:bookmarkStart w:id="0" w:name="_GoBack"/>
      <w:bookmarkEnd w:id="0"/>
      <w:r>
        <w:rPr>
          <w:sz w:val="24"/>
          <w:szCs w:val="24"/>
        </w:rPr>
        <w:t>. It is currently considering investing in one of three properties in Greece.</w:t>
      </w:r>
    </w:p>
    <w:p w:rsidR="00675423" w:rsidRPr="00C034D5" w:rsidRDefault="00675423" w:rsidP="00C03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4D5">
        <w:rPr>
          <w:sz w:val="24"/>
          <w:szCs w:val="24"/>
        </w:rPr>
        <w:t xml:space="preserve">The first one is located in the island of Skiathos and costs €350,000. The company expects that yearly maintenance costs would be approximately €1200 and these will be incurred independently of the length of the time the property is rented out. For each day that the property is rented, the company </w:t>
      </w:r>
      <w:r w:rsidR="00C034D5" w:rsidRPr="00C034D5">
        <w:rPr>
          <w:sz w:val="24"/>
          <w:szCs w:val="24"/>
        </w:rPr>
        <w:t xml:space="preserve">has calculated that it will incur costs of €12 (for cleaning services and general maintenance). The company is considering a rent of €130 per day and at this rate expected occupancy rate is 75%. </w:t>
      </w:r>
    </w:p>
    <w:p w:rsidR="00C034D5" w:rsidRPr="00C034D5" w:rsidRDefault="00C034D5" w:rsidP="00C03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4D5">
        <w:rPr>
          <w:sz w:val="24"/>
          <w:szCs w:val="24"/>
        </w:rPr>
        <w:t xml:space="preserve">The second one is located in </w:t>
      </w:r>
      <w:proofErr w:type="spellStart"/>
      <w:r w:rsidRPr="00C034D5">
        <w:rPr>
          <w:sz w:val="24"/>
          <w:szCs w:val="24"/>
        </w:rPr>
        <w:t>Sithonia</w:t>
      </w:r>
      <w:proofErr w:type="spellEnd"/>
      <w:r w:rsidRPr="00C034D5">
        <w:rPr>
          <w:sz w:val="24"/>
          <w:szCs w:val="24"/>
        </w:rPr>
        <w:t xml:space="preserve"> in </w:t>
      </w:r>
      <w:proofErr w:type="spellStart"/>
      <w:r w:rsidRPr="00C034D5">
        <w:rPr>
          <w:sz w:val="24"/>
          <w:szCs w:val="24"/>
        </w:rPr>
        <w:t>Chalkidiki</w:t>
      </w:r>
      <w:proofErr w:type="spellEnd"/>
      <w:r w:rsidRPr="00C034D5">
        <w:rPr>
          <w:sz w:val="24"/>
          <w:szCs w:val="24"/>
        </w:rPr>
        <w:t xml:space="preserve"> and costs €270,000. The yearly maintenance costs for this property would be approximately €1500, while the daily costs of each day the property is rented would also be €12. For this property, the company is considering a rent of €105 per day and at this rate expected occupancy rate is 80%. </w:t>
      </w:r>
    </w:p>
    <w:p w:rsidR="00C034D5" w:rsidRPr="00C034D5" w:rsidRDefault="00C034D5" w:rsidP="00C03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4D5">
        <w:rPr>
          <w:sz w:val="24"/>
          <w:szCs w:val="24"/>
        </w:rPr>
        <w:t xml:space="preserve">The final property is located in </w:t>
      </w:r>
      <w:proofErr w:type="spellStart"/>
      <w:r w:rsidRPr="00C034D5">
        <w:rPr>
          <w:sz w:val="24"/>
          <w:szCs w:val="24"/>
        </w:rPr>
        <w:t>Peramos</w:t>
      </w:r>
      <w:proofErr w:type="spellEnd"/>
      <w:r w:rsidRPr="00C034D5">
        <w:rPr>
          <w:sz w:val="24"/>
          <w:szCs w:val="24"/>
        </w:rPr>
        <w:t xml:space="preserve"> in Kavala and costs €180,000. The yearly maintenance costs for this property would be approximately €900, while the daily costs of each day the property is rented would also be €9. For this property, the company is considering a rent of €75 per day and at this rate expected occupancy rate is 70%. </w:t>
      </w:r>
    </w:p>
    <w:p w:rsidR="00C034D5" w:rsidRDefault="00C034D5" w:rsidP="00C034D5">
      <w:pPr>
        <w:rPr>
          <w:sz w:val="24"/>
          <w:szCs w:val="24"/>
        </w:rPr>
      </w:pPr>
      <w:r>
        <w:rPr>
          <w:sz w:val="24"/>
          <w:szCs w:val="24"/>
        </w:rPr>
        <w:t xml:space="preserve">Business tax rates in Greece are currently set at 25%; the property in Peramos benefits from a lower tax rate of 20% due to increased incentives for investment in this area. </w:t>
      </w:r>
    </w:p>
    <w:p w:rsidR="00C034D5" w:rsidRDefault="00C034D5" w:rsidP="00C034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Based on the above information, create an Excel model that will guide the investment decision process for</w:t>
      </w:r>
      <w:r w:rsidRPr="00C034D5">
        <w:rPr>
          <w:sz w:val="24"/>
          <w:szCs w:val="24"/>
        </w:rPr>
        <w:t xml:space="preserve"> </w:t>
      </w:r>
      <w:r>
        <w:rPr>
          <w:sz w:val="24"/>
          <w:szCs w:val="24"/>
        </w:rPr>
        <w:t>‘Homes in the Sun’ plc.</w:t>
      </w:r>
    </w:p>
    <w:p w:rsidR="00CC2DA8" w:rsidRPr="00CC2DA8" w:rsidRDefault="00CC2DA8" w:rsidP="00CC2DA8">
      <w:pPr>
        <w:pStyle w:val="ListParagraph"/>
        <w:rPr>
          <w:sz w:val="24"/>
          <w:szCs w:val="24"/>
        </w:rPr>
      </w:pPr>
    </w:p>
    <w:p w:rsidR="00C034D5" w:rsidRDefault="00C034D5" w:rsidP="00C034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34D5">
        <w:rPr>
          <w:sz w:val="24"/>
          <w:szCs w:val="24"/>
        </w:rPr>
        <w:t xml:space="preserve"> </w:t>
      </w:r>
      <w:r w:rsidR="00F0304F">
        <w:rPr>
          <w:sz w:val="24"/>
          <w:szCs w:val="24"/>
        </w:rPr>
        <w:t>After further consideration, the company has drawn a more detailed forecast of the expected occupancy rates for the next five years, given below:</w:t>
      </w:r>
    </w:p>
    <w:p w:rsidR="00F0304F" w:rsidRDefault="00F0304F" w:rsidP="00F0304F">
      <w:pPr>
        <w:pStyle w:val="ListParagraph"/>
        <w:rPr>
          <w:sz w:val="24"/>
          <w:szCs w:val="24"/>
        </w:rPr>
      </w:pPr>
    </w:p>
    <w:tbl>
      <w:tblPr>
        <w:tblW w:w="7072" w:type="dxa"/>
        <w:jc w:val="center"/>
        <w:tblInd w:w="103" w:type="dxa"/>
        <w:tblLook w:val="04A0" w:firstRow="1" w:lastRow="0" w:firstColumn="1" w:lastColumn="0" w:noHBand="0" w:noVBand="1"/>
      </w:tblPr>
      <w:tblGrid>
        <w:gridCol w:w="3568"/>
        <w:gridCol w:w="1168"/>
        <w:gridCol w:w="1168"/>
        <w:gridCol w:w="1168"/>
      </w:tblGrid>
      <w:tr w:rsidR="00F0304F" w:rsidRPr="00F0304F" w:rsidTr="00F0304F">
        <w:trPr>
          <w:trHeight w:val="300"/>
          <w:jc w:val="center"/>
        </w:trPr>
        <w:tc>
          <w:tcPr>
            <w:tcW w:w="35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Expected occupancy rate (variable)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Skiathos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Sithonia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Peramos</w:t>
            </w:r>
          </w:p>
        </w:tc>
      </w:tr>
      <w:tr w:rsidR="00F0304F" w:rsidRPr="00F0304F" w:rsidTr="00F0304F">
        <w:trPr>
          <w:trHeight w:val="300"/>
          <w:jc w:val="center"/>
        </w:trPr>
        <w:tc>
          <w:tcPr>
            <w:tcW w:w="35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Year 1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69%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71%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68%</w:t>
            </w:r>
          </w:p>
        </w:tc>
      </w:tr>
      <w:tr w:rsidR="00F0304F" w:rsidRPr="00F0304F" w:rsidTr="00F0304F">
        <w:trPr>
          <w:trHeight w:val="300"/>
          <w:jc w:val="center"/>
        </w:trPr>
        <w:tc>
          <w:tcPr>
            <w:tcW w:w="35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Year 2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70%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79%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72%</w:t>
            </w:r>
          </w:p>
        </w:tc>
      </w:tr>
      <w:tr w:rsidR="00F0304F" w:rsidRPr="00F0304F" w:rsidTr="00F0304F">
        <w:trPr>
          <w:trHeight w:val="300"/>
          <w:jc w:val="center"/>
        </w:trPr>
        <w:tc>
          <w:tcPr>
            <w:tcW w:w="35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Year 3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76%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84%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71%</w:t>
            </w:r>
          </w:p>
        </w:tc>
      </w:tr>
      <w:tr w:rsidR="00F0304F" w:rsidRPr="00F0304F" w:rsidTr="00F0304F">
        <w:trPr>
          <w:trHeight w:val="300"/>
          <w:jc w:val="center"/>
        </w:trPr>
        <w:tc>
          <w:tcPr>
            <w:tcW w:w="35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Year 4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78%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81%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69%</w:t>
            </w:r>
          </w:p>
        </w:tc>
      </w:tr>
      <w:tr w:rsidR="00F0304F" w:rsidRPr="00F0304F" w:rsidTr="00F0304F">
        <w:trPr>
          <w:trHeight w:val="300"/>
          <w:jc w:val="center"/>
        </w:trPr>
        <w:tc>
          <w:tcPr>
            <w:tcW w:w="35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Year 5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76%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80%</w:t>
            </w:r>
          </w:p>
        </w:tc>
        <w:tc>
          <w:tcPr>
            <w:tcW w:w="116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304F" w:rsidRPr="00F0304F" w:rsidRDefault="00F0304F" w:rsidP="00F0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304F">
              <w:rPr>
                <w:rFonts w:ascii="Calibri" w:eastAsia="Times New Roman" w:hAnsi="Calibri" w:cs="Times New Roman"/>
                <w:color w:val="000000"/>
                <w:lang w:eastAsia="en-GB"/>
              </w:rPr>
              <w:t>67%</w:t>
            </w:r>
          </w:p>
        </w:tc>
      </w:tr>
    </w:tbl>
    <w:p w:rsidR="00C034D5" w:rsidRDefault="00C034D5" w:rsidP="00675423">
      <w:pPr>
        <w:rPr>
          <w:sz w:val="24"/>
          <w:szCs w:val="24"/>
        </w:rPr>
      </w:pPr>
    </w:p>
    <w:p w:rsidR="00675423" w:rsidRDefault="00F0304F" w:rsidP="00F0304F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The company also has access to a financial product that provides an annual rate of return of 4.3%. Modify your model to include this additional information on the decision-making process.</w:t>
      </w:r>
    </w:p>
    <w:p w:rsidR="00F0304F" w:rsidRDefault="00F0304F" w:rsidP="00F030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Bonus Question!: </w:t>
      </w:r>
      <w:r w:rsidRPr="00F0304F">
        <w:rPr>
          <w:sz w:val="24"/>
          <w:szCs w:val="24"/>
        </w:rPr>
        <w:t>Given the alternative investment</w:t>
      </w:r>
      <w:r>
        <w:rPr>
          <w:sz w:val="24"/>
          <w:szCs w:val="24"/>
        </w:rPr>
        <w:t xml:space="preserve"> available (</w:t>
      </w:r>
      <w:r w:rsidRPr="00F0304F">
        <w:rPr>
          <w:sz w:val="24"/>
          <w:szCs w:val="24"/>
        </w:rPr>
        <w:t>in the financial product</w:t>
      </w:r>
      <w:r>
        <w:rPr>
          <w:sz w:val="24"/>
          <w:szCs w:val="24"/>
        </w:rPr>
        <w:t>)</w:t>
      </w:r>
      <w:r w:rsidRPr="00F0304F">
        <w:rPr>
          <w:sz w:val="24"/>
          <w:szCs w:val="24"/>
        </w:rPr>
        <w:t xml:space="preserve">, should </w:t>
      </w:r>
      <w:r>
        <w:rPr>
          <w:sz w:val="24"/>
          <w:szCs w:val="24"/>
        </w:rPr>
        <w:t>‘Homes in the Sun’ plc</w:t>
      </w:r>
      <w:r w:rsidRPr="00F0304F">
        <w:rPr>
          <w:sz w:val="24"/>
          <w:szCs w:val="24"/>
        </w:rPr>
        <w:t xml:space="preserve"> invest in</w:t>
      </w:r>
      <w:r>
        <w:rPr>
          <w:sz w:val="24"/>
          <w:szCs w:val="24"/>
        </w:rPr>
        <w:t xml:space="preserve"> any of the three holiday properties if it</w:t>
      </w:r>
      <w:r w:rsidRPr="00F0304F">
        <w:rPr>
          <w:sz w:val="24"/>
          <w:szCs w:val="24"/>
        </w:rPr>
        <w:t xml:space="preserve"> assume</w:t>
      </w:r>
      <w:r>
        <w:rPr>
          <w:sz w:val="24"/>
          <w:szCs w:val="24"/>
        </w:rPr>
        <w:t>s</w:t>
      </w:r>
      <w:r w:rsidRPr="00F0304F">
        <w:rPr>
          <w:sz w:val="24"/>
          <w:szCs w:val="24"/>
        </w:rPr>
        <w:t xml:space="preserve"> that the expected </w:t>
      </w:r>
      <w:r>
        <w:rPr>
          <w:sz w:val="24"/>
          <w:szCs w:val="24"/>
        </w:rPr>
        <w:t xml:space="preserve">annual </w:t>
      </w:r>
      <w:r w:rsidRPr="00F0304F">
        <w:rPr>
          <w:sz w:val="24"/>
          <w:szCs w:val="24"/>
        </w:rPr>
        <w:t>rate of inflation</w:t>
      </w:r>
      <w:r>
        <w:rPr>
          <w:sz w:val="24"/>
          <w:szCs w:val="24"/>
        </w:rPr>
        <w:t xml:space="preserve"> over the next five years will be </w:t>
      </w:r>
      <w:r w:rsidRPr="00F0304F">
        <w:rPr>
          <w:sz w:val="24"/>
          <w:szCs w:val="24"/>
        </w:rPr>
        <w:t>2%?</w:t>
      </w:r>
    </w:p>
    <w:p w:rsidR="00A52419" w:rsidRDefault="00A52419" w:rsidP="00A52419">
      <w:pPr>
        <w:pStyle w:val="ListParagraph"/>
        <w:rPr>
          <w:sz w:val="24"/>
          <w:szCs w:val="24"/>
        </w:rPr>
      </w:pPr>
    </w:p>
    <w:p w:rsidR="00A52419" w:rsidRPr="00F0304F" w:rsidRDefault="00AE5B03" w:rsidP="00F030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company desires some additional flexibility and for this reason considers the option to withdraw from the Greek holiday property market after the end of the 5-year period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selling the property). </w:t>
      </w:r>
      <w:r w:rsidR="00FC7639">
        <w:rPr>
          <w:sz w:val="24"/>
          <w:szCs w:val="24"/>
        </w:rPr>
        <w:t xml:space="preserve">Property prices are expected to rise by 13% in Skiathos, 11% in Sithonia and 7% in Peramos over the next 5-year period. The company also needs to consider that the sale of a property incurs stamp duty tax, which depends on the price of the property sold. For properties up to </w:t>
      </w:r>
      <w:r w:rsidR="00FC7639" w:rsidRPr="00C034D5">
        <w:rPr>
          <w:sz w:val="24"/>
          <w:szCs w:val="24"/>
        </w:rPr>
        <w:t>€</w:t>
      </w:r>
      <w:r w:rsidR="00FC7639">
        <w:rPr>
          <w:sz w:val="24"/>
          <w:szCs w:val="24"/>
        </w:rPr>
        <w:t>1</w:t>
      </w:r>
      <w:r w:rsidR="00FC7639" w:rsidRPr="00C034D5">
        <w:rPr>
          <w:sz w:val="24"/>
          <w:szCs w:val="24"/>
        </w:rPr>
        <w:t>50,000</w:t>
      </w:r>
      <w:r w:rsidR="00FC7639">
        <w:rPr>
          <w:sz w:val="24"/>
          <w:szCs w:val="24"/>
        </w:rPr>
        <w:t xml:space="preserve">, stamp duty is 1% of the value of the property, for properties in the </w:t>
      </w:r>
      <w:r w:rsidR="00FC7639" w:rsidRPr="00C034D5">
        <w:rPr>
          <w:sz w:val="24"/>
          <w:szCs w:val="24"/>
        </w:rPr>
        <w:t>€</w:t>
      </w:r>
      <w:r w:rsidR="00FC7639">
        <w:rPr>
          <w:sz w:val="24"/>
          <w:szCs w:val="24"/>
        </w:rPr>
        <w:t>1</w:t>
      </w:r>
      <w:r w:rsidR="00FC7639" w:rsidRPr="00C034D5">
        <w:rPr>
          <w:sz w:val="24"/>
          <w:szCs w:val="24"/>
        </w:rPr>
        <w:t>50,000</w:t>
      </w:r>
      <w:r w:rsidR="00FC7639">
        <w:rPr>
          <w:sz w:val="24"/>
          <w:szCs w:val="24"/>
        </w:rPr>
        <w:t>-</w:t>
      </w:r>
      <w:r w:rsidR="00FC7639" w:rsidRPr="00C034D5">
        <w:rPr>
          <w:sz w:val="24"/>
          <w:szCs w:val="24"/>
        </w:rPr>
        <w:t>€</w:t>
      </w:r>
      <w:r w:rsidR="00FC7639">
        <w:rPr>
          <w:sz w:val="24"/>
          <w:szCs w:val="24"/>
        </w:rPr>
        <w:t xml:space="preserve">300,000 range, stamp duty is 3% and for properties above </w:t>
      </w:r>
      <w:r w:rsidR="00FC7639" w:rsidRPr="00C034D5">
        <w:rPr>
          <w:sz w:val="24"/>
          <w:szCs w:val="24"/>
        </w:rPr>
        <w:t>€</w:t>
      </w:r>
      <w:r w:rsidR="00FC7639">
        <w:rPr>
          <w:sz w:val="24"/>
          <w:szCs w:val="24"/>
        </w:rPr>
        <w:t xml:space="preserve">300,000, stamp duty is 5%. Use the above information together with the information from part 2 to refine your model.     </w:t>
      </w:r>
    </w:p>
    <w:p w:rsidR="00F0304F" w:rsidRDefault="00F0304F" w:rsidP="00675423">
      <w:pPr>
        <w:rPr>
          <w:sz w:val="24"/>
          <w:szCs w:val="24"/>
        </w:rPr>
      </w:pPr>
    </w:p>
    <w:p w:rsidR="00D3345B" w:rsidRDefault="00D3345B"/>
    <w:sectPr w:rsidR="00D3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3114"/>
    <w:multiLevelType w:val="hybridMultilevel"/>
    <w:tmpl w:val="0DE425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07D6B"/>
    <w:multiLevelType w:val="hybridMultilevel"/>
    <w:tmpl w:val="AB2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23"/>
    <w:rsid w:val="00613ED1"/>
    <w:rsid w:val="00675423"/>
    <w:rsid w:val="006F4E1B"/>
    <w:rsid w:val="00A52419"/>
    <w:rsid w:val="00AE5B03"/>
    <w:rsid w:val="00C00BFD"/>
    <w:rsid w:val="00C034D5"/>
    <w:rsid w:val="00CC2DA8"/>
    <w:rsid w:val="00D3345B"/>
    <w:rsid w:val="00F0304F"/>
    <w:rsid w:val="00FC4E78"/>
    <w:rsid w:val="00F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</dc:creator>
  <cp:lastModifiedBy>Dimitris</cp:lastModifiedBy>
  <cp:revision>4</cp:revision>
  <dcterms:created xsi:type="dcterms:W3CDTF">2014-02-12T22:27:00Z</dcterms:created>
  <dcterms:modified xsi:type="dcterms:W3CDTF">2016-02-12T11:07:00Z</dcterms:modified>
</cp:coreProperties>
</file>