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891" w:rsidRPr="00E207D2" w:rsidRDefault="00194C2F" w:rsidP="00CB4374">
      <w:pPr>
        <w:pBdr>
          <w:top w:val="single" w:sz="4" w:space="1" w:color="auto"/>
          <w:bottom w:val="single" w:sz="4" w:space="1" w:color="auto"/>
        </w:pBdr>
        <w:ind w:left="5103" w:hanging="5103"/>
        <w:rPr>
          <w:rStyle w:val="CharAttribute0"/>
          <w:rFonts w:ascii="Trebuchet MS" w:eastAsia="Batang" w:hAnsi="Trebuchet MS" w:cs="Trebuchet MS"/>
          <w:b/>
        </w:rPr>
      </w:pPr>
      <w:r>
        <w:rPr>
          <w:rFonts w:ascii="Trebuchet MS" w:hAnsi="Trebuchet MS" w:cs="Trebuchet MS"/>
          <w:b/>
        </w:rPr>
        <w:t xml:space="preserve">Forecasting </w:t>
      </w:r>
      <w:r w:rsidR="00075891" w:rsidRPr="00B56D79">
        <w:rPr>
          <w:rFonts w:ascii="Trebuchet MS" w:hAnsi="Trebuchet MS" w:cs="Trebuchet MS"/>
          <w:b/>
        </w:rPr>
        <w:t>Case study:</w:t>
      </w:r>
      <w:r w:rsidR="00075891">
        <w:rPr>
          <w:rFonts w:ascii="Trebuchet MS" w:hAnsi="Trebuchet MS" w:cs="Trebuchet MS"/>
          <w:b/>
        </w:rPr>
        <w:t xml:space="preserve"> Windmill plc.</w:t>
      </w:r>
      <w:r w:rsidR="00075891">
        <w:rPr>
          <w:rFonts w:ascii="Trebuchet MS" w:hAnsi="Trebuchet MS" w:cs="Trebuchet MS"/>
          <w:b/>
        </w:rPr>
        <w:tab/>
        <w:t>BN22</w:t>
      </w:r>
      <w:r>
        <w:rPr>
          <w:rFonts w:ascii="Trebuchet MS" w:hAnsi="Trebuchet MS" w:cs="Trebuchet MS"/>
          <w:b/>
        </w:rPr>
        <w:t>30</w:t>
      </w:r>
      <w:r w:rsidR="00075891" w:rsidRPr="00107B3A">
        <w:rPr>
          <w:rFonts w:ascii="Trebuchet MS" w:hAnsi="Trebuchet MS" w:cs="Trebuchet MS"/>
          <w:b/>
        </w:rPr>
        <w:t xml:space="preserve"> Business Analytics</w:t>
      </w:r>
      <w:r w:rsidR="00075891">
        <w:rPr>
          <w:rFonts w:ascii="Trebuchet MS" w:hAnsi="Trebuchet MS" w:cs="Trebuchet MS"/>
          <w:b/>
        </w:rPr>
        <w:t xml:space="preserve"> in practice</w:t>
      </w:r>
    </w:p>
    <w:p w:rsidR="002029EA" w:rsidRDefault="00075891" w:rsidP="00697D37">
      <w:pPr>
        <w:rPr>
          <w:rFonts w:cs="Arial"/>
          <w:sz w:val="24"/>
          <w:szCs w:val="24"/>
        </w:rPr>
      </w:pPr>
      <w:r w:rsidRPr="00E207D2">
        <w:rPr>
          <w:rFonts w:cs="Arial"/>
          <w:sz w:val="24"/>
          <w:szCs w:val="24"/>
        </w:rPr>
        <w:t xml:space="preserve">Windmill plc is considering expanding an existing wind-farm it owns and operates </w:t>
      </w:r>
      <w:r w:rsidR="000D05D4" w:rsidRPr="00E207D2">
        <w:rPr>
          <w:rFonts w:cs="Arial"/>
          <w:sz w:val="24"/>
          <w:szCs w:val="24"/>
        </w:rPr>
        <w:t xml:space="preserve">out of the Thames Estuary. In order to assess the viability of the investment, it requires a forecast of the revenue that is typically generated by a medium-sized off-shore wind turbine, similar to those that the company is already operating and is considering on further investing on. To assist in this process it has gathered some historic data from its current operations; the data relates to the revenue that has been generated by one such wind turbine, the </w:t>
      </w:r>
      <w:r w:rsidR="00E207D2">
        <w:rPr>
          <w:rFonts w:cs="Arial"/>
          <w:sz w:val="24"/>
          <w:szCs w:val="24"/>
        </w:rPr>
        <w:t xml:space="preserve">average </w:t>
      </w:r>
      <w:r w:rsidR="000D05D4" w:rsidRPr="00E207D2">
        <w:rPr>
          <w:rFonts w:cs="Arial"/>
          <w:sz w:val="24"/>
          <w:szCs w:val="24"/>
        </w:rPr>
        <w:t>wind capacity factor</w:t>
      </w:r>
      <w:r w:rsidR="00E207D2">
        <w:rPr>
          <w:rFonts w:cs="Arial"/>
          <w:sz w:val="24"/>
          <w:szCs w:val="24"/>
        </w:rPr>
        <w:t xml:space="preserve"> for each quarter (WCF, which is a measure of output – actual electricity generated by the turbine relative to potential) and the average price of an electricity </w:t>
      </w:r>
      <w:r w:rsidR="002029EA">
        <w:rPr>
          <w:rFonts w:cs="Arial"/>
          <w:sz w:val="24"/>
          <w:szCs w:val="24"/>
        </w:rPr>
        <w:t>‘</w:t>
      </w:r>
      <w:r w:rsidR="00E207D2">
        <w:rPr>
          <w:rFonts w:cs="Arial"/>
          <w:sz w:val="24"/>
          <w:szCs w:val="24"/>
        </w:rPr>
        <w:t>forward</w:t>
      </w:r>
      <w:r w:rsidR="002029EA">
        <w:rPr>
          <w:rFonts w:cs="Arial"/>
          <w:sz w:val="24"/>
          <w:szCs w:val="24"/>
        </w:rPr>
        <w:t>’</w:t>
      </w:r>
      <w:r w:rsidR="00E207D2">
        <w:rPr>
          <w:rFonts w:cs="Arial"/>
          <w:sz w:val="24"/>
          <w:szCs w:val="24"/>
        </w:rPr>
        <w:t xml:space="preserve"> contract (a measure of the average price of electricity </w:t>
      </w:r>
      <w:r w:rsidR="002029EA">
        <w:rPr>
          <w:rFonts w:cs="Arial"/>
          <w:sz w:val="24"/>
          <w:szCs w:val="24"/>
        </w:rPr>
        <w:t>sold by the company).</w:t>
      </w:r>
    </w:p>
    <w:p w:rsidR="002029EA" w:rsidRDefault="002029EA" w:rsidP="00697D37">
      <w:pPr>
        <w:rPr>
          <w:rFonts w:cs="Arial"/>
          <w:sz w:val="24"/>
          <w:szCs w:val="24"/>
        </w:rPr>
      </w:pPr>
      <w:r>
        <w:rPr>
          <w:rFonts w:cs="Arial"/>
          <w:sz w:val="24"/>
          <w:szCs w:val="24"/>
        </w:rPr>
        <w:t>The historic data are given in the table below:</w:t>
      </w:r>
    </w:p>
    <w:p w:rsidR="002029EA" w:rsidRPr="002029EA" w:rsidRDefault="002029EA" w:rsidP="00697D37">
      <w:pPr>
        <w:rPr>
          <w:rFonts w:cs="Arial"/>
          <w:b/>
          <w:sz w:val="24"/>
          <w:szCs w:val="24"/>
        </w:rPr>
      </w:pPr>
      <w:r w:rsidRPr="002029EA">
        <w:rPr>
          <w:rFonts w:cs="Arial"/>
          <w:b/>
          <w:sz w:val="24"/>
          <w:szCs w:val="24"/>
        </w:rPr>
        <w:t>Table 1: Data relating to a ‘typical’ wind turbine</w:t>
      </w:r>
    </w:p>
    <w:tbl>
      <w:tblPr>
        <w:tblW w:w="8351" w:type="dxa"/>
        <w:tblLook w:val="04A0" w:firstRow="1" w:lastRow="0" w:firstColumn="1" w:lastColumn="0" w:noHBand="0" w:noVBand="1"/>
      </w:tblPr>
      <w:tblGrid>
        <w:gridCol w:w="989"/>
        <w:gridCol w:w="1268"/>
        <w:gridCol w:w="1976"/>
        <w:gridCol w:w="1941"/>
        <w:gridCol w:w="2177"/>
      </w:tblGrid>
      <w:tr w:rsidR="00FC0A31" w:rsidRPr="00FC0A31" w:rsidTr="00FC0A31">
        <w:trPr>
          <w:trHeight w:val="308"/>
        </w:trPr>
        <w:tc>
          <w:tcPr>
            <w:tcW w:w="989" w:type="dxa"/>
            <w:tcBorders>
              <w:top w:val="single" w:sz="8" w:space="0" w:color="4F81BD"/>
              <w:left w:val="nil"/>
              <w:bottom w:val="single" w:sz="8" w:space="0" w:color="4F81BD"/>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bookmarkStart w:id="0" w:name="_GoBack"/>
            <w:bookmarkEnd w:id="0"/>
            <w:r w:rsidRPr="00FC0A31">
              <w:rPr>
                <w:rFonts w:eastAsia="Times New Roman"/>
                <w:b/>
                <w:bCs/>
                <w:color w:val="000000"/>
                <w:kern w:val="0"/>
                <w:sz w:val="22"/>
                <w:szCs w:val="22"/>
                <w:lang w:val="en-GB" w:eastAsia="en-GB"/>
              </w:rPr>
              <w:t>Year</w:t>
            </w:r>
          </w:p>
        </w:tc>
        <w:tc>
          <w:tcPr>
            <w:tcW w:w="1268" w:type="dxa"/>
            <w:tcBorders>
              <w:top w:val="single" w:sz="8" w:space="0" w:color="4F81BD"/>
              <w:left w:val="nil"/>
              <w:bottom w:val="single" w:sz="8" w:space="0" w:color="4F81BD"/>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Quarter</w:t>
            </w:r>
          </w:p>
        </w:tc>
        <w:tc>
          <w:tcPr>
            <w:tcW w:w="1976" w:type="dxa"/>
            <w:tcBorders>
              <w:top w:val="single" w:sz="8" w:space="0" w:color="4F81BD"/>
              <w:left w:val="nil"/>
              <w:bottom w:val="single" w:sz="8" w:space="0" w:color="4F81BD"/>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Revenue</w:t>
            </w:r>
          </w:p>
        </w:tc>
        <w:tc>
          <w:tcPr>
            <w:tcW w:w="1941" w:type="dxa"/>
            <w:tcBorders>
              <w:top w:val="single" w:sz="8" w:space="0" w:color="4F81BD"/>
              <w:left w:val="nil"/>
              <w:bottom w:val="single" w:sz="8" w:space="0" w:color="4F81BD"/>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Wind Capacity Factor</w:t>
            </w:r>
          </w:p>
        </w:tc>
        <w:tc>
          <w:tcPr>
            <w:tcW w:w="2177" w:type="dxa"/>
            <w:tcBorders>
              <w:top w:val="single" w:sz="8" w:space="0" w:color="4F81BD"/>
              <w:left w:val="nil"/>
              <w:bottom w:val="single" w:sz="8" w:space="0" w:color="4F81BD"/>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Electricity 'forward' prices</w:t>
            </w:r>
          </w:p>
        </w:tc>
      </w:tr>
      <w:tr w:rsidR="00FC0A31" w:rsidRPr="00FC0A31" w:rsidTr="00FC0A31">
        <w:trPr>
          <w:trHeight w:val="298"/>
        </w:trPr>
        <w:tc>
          <w:tcPr>
            <w:tcW w:w="989"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1</w:t>
            </w:r>
          </w:p>
        </w:tc>
        <w:tc>
          <w:tcPr>
            <w:tcW w:w="1268"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w:t>
            </w:r>
          </w:p>
        </w:tc>
        <w:tc>
          <w:tcPr>
            <w:tcW w:w="1976"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904.1</w:t>
            </w:r>
          </w:p>
        </w:tc>
        <w:tc>
          <w:tcPr>
            <w:tcW w:w="1941"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43.20%</w:t>
            </w:r>
          </w:p>
        </w:tc>
        <w:tc>
          <w:tcPr>
            <w:tcW w:w="2177"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0.077</w:t>
            </w:r>
          </w:p>
        </w:tc>
      </w:tr>
      <w:tr w:rsidR="00FC0A31" w:rsidRPr="00FC0A31" w:rsidTr="00FC0A31">
        <w:trPr>
          <w:trHeight w:val="298"/>
        </w:trPr>
        <w:tc>
          <w:tcPr>
            <w:tcW w:w="989"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1</w:t>
            </w:r>
          </w:p>
        </w:tc>
        <w:tc>
          <w:tcPr>
            <w:tcW w:w="1268"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w:t>
            </w:r>
          </w:p>
        </w:tc>
        <w:tc>
          <w:tcPr>
            <w:tcW w:w="1976"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555.2</w:t>
            </w:r>
          </w:p>
        </w:tc>
        <w:tc>
          <w:tcPr>
            <w:tcW w:w="1941"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24.70%</w:t>
            </w:r>
          </w:p>
        </w:tc>
        <w:tc>
          <w:tcPr>
            <w:tcW w:w="2177"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0.096</w:t>
            </w:r>
          </w:p>
        </w:tc>
      </w:tr>
      <w:tr w:rsidR="00FC0A31" w:rsidRPr="00FC0A31" w:rsidTr="00FC0A31">
        <w:trPr>
          <w:trHeight w:val="298"/>
        </w:trPr>
        <w:tc>
          <w:tcPr>
            <w:tcW w:w="989"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1</w:t>
            </w:r>
          </w:p>
        </w:tc>
        <w:tc>
          <w:tcPr>
            <w:tcW w:w="1268"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3</w:t>
            </w:r>
          </w:p>
        </w:tc>
        <w:tc>
          <w:tcPr>
            <w:tcW w:w="1976"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198.9</w:t>
            </w:r>
          </w:p>
        </w:tc>
        <w:tc>
          <w:tcPr>
            <w:tcW w:w="1941"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21.80%</w:t>
            </w:r>
          </w:p>
        </w:tc>
        <w:tc>
          <w:tcPr>
            <w:tcW w:w="2177"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0.051</w:t>
            </w:r>
          </w:p>
        </w:tc>
      </w:tr>
      <w:tr w:rsidR="00FC0A31" w:rsidRPr="00FC0A31" w:rsidTr="00FC0A31">
        <w:trPr>
          <w:trHeight w:val="298"/>
        </w:trPr>
        <w:tc>
          <w:tcPr>
            <w:tcW w:w="989"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1</w:t>
            </w:r>
          </w:p>
        </w:tc>
        <w:tc>
          <w:tcPr>
            <w:tcW w:w="1268"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4</w:t>
            </w:r>
          </w:p>
        </w:tc>
        <w:tc>
          <w:tcPr>
            <w:tcW w:w="1976"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706.7</w:t>
            </w:r>
          </w:p>
        </w:tc>
        <w:tc>
          <w:tcPr>
            <w:tcW w:w="1941"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35.20%</w:t>
            </w:r>
          </w:p>
        </w:tc>
        <w:tc>
          <w:tcPr>
            <w:tcW w:w="2177"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0.088</w:t>
            </w:r>
          </w:p>
        </w:tc>
      </w:tr>
      <w:tr w:rsidR="00FC0A31" w:rsidRPr="00FC0A31" w:rsidTr="00FC0A31">
        <w:trPr>
          <w:trHeight w:val="298"/>
        </w:trPr>
        <w:tc>
          <w:tcPr>
            <w:tcW w:w="989"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2</w:t>
            </w:r>
          </w:p>
        </w:tc>
        <w:tc>
          <w:tcPr>
            <w:tcW w:w="1268"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w:t>
            </w:r>
          </w:p>
        </w:tc>
        <w:tc>
          <w:tcPr>
            <w:tcW w:w="1976"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709.2</w:t>
            </w:r>
          </w:p>
        </w:tc>
        <w:tc>
          <w:tcPr>
            <w:tcW w:w="1941"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42.50%</w:t>
            </w:r>
          </w:p>
        </w:tc>
        <w:tc>
          <w:tcPr>
            <w:tcW w:w="2177"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0.057</w:t>
            </w:r>
          </w:p>
        </w:tc>
      </w:tr>
      <w:tr w:rsidR="00FC0A31" w:rsidRPr="00FC0A31" w:rsidTr="00FC0A31">
        <w:trPr>
          <w:trHeight w:val="298"/>
        </w:trPr>
        <w:tc>
          <w:tcPr>
            <w:tcW w:w="989"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2</w:t>
            </w:r>
          </w:p>
        </w:tc>
        <w:tc>
          <w:tcPr>
            <w:tcW w:w="1268"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w:t>
            </w:r>
          </w:p>
        </w:tc>
        <w:tc>
          <w:tcPr>
            <w:tcW w:w="1976"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265.1</w:t>
            </w:r>
          </w:p>
        </w:tc>
        <w:tc>
          <w:tcPr>
            <w:tcW w:w="1941"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22.30%</w:t>
            </w:r>
          </w:p>
        </w:tc>
        <w:tc>
          <w:tcPr>
            <w:tcW w:w="2177"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0.058</w:t>
            </w:r>
          </w:p>
        </w:tc>
      </w:tr>
      <w:tr w:rsidR="00FC0A31" w:rsidRPr="00FC0A31" w:rsidTr="00FC0A31">
        <w:trPr>
          <w:trHeight w:val="298"/>
        </w:trPr>
        <w:tc>
          <w:tcPr>
            <w:tcW w:w="989"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2</w:t>
            </w:r>
          </w:p>
        </w:tc>
        <w:tc>
          <w:tcPr>
            <w:tcW w:w="1268"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3</w:t>
            </w:r>
          </w:p>
        </w:tc>
        <w:tc>
          <w:tcPr>
            <w:tcW w:w="1976"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253</w:t>
            </w:r>
          </w:p>
        </w:tc>
        <w:tc>
          <w:tcPr>
            <w:tcW w:w="1941"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20.70%</w:t>
            </w:r>
          </w:p>
        </w:tc>
        <w:tc>
          <w:tcPr>
            <w:tcW w:w="2177"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0.056</w:t>
            </w:r>
          </w:p>
        </w:tc>
      </w:tr>
      <w:tr w:rsidR="00FC0A31" w:rsidRPr="00FC0A31" w:rsidTr="00FC0A31">
        <w:trPr>
          <w:trHeight w:val="298"/>
        </w:trPr>
        <w:tc>
          <w:tcPr>
            <w:tcW w:w="989"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2</w:t>
            </w:r>
          </w:p>
        </w:tc>
        <w:tc>
          <w:tcPr>
            <w:tcW w:w="1268"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4</w:t>
            </w:r>
          </w:p>
        </w:tc>
        <w:tc>
          <w:tcPr>
            <w:tcW w:w="1976"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914.2</w:t>
            </w:r>
          </w:p>
        </w:tc>
        <w:tc>
          <w:tcPr>
            <w:tcW w:w="1941"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33.40%</w:t>
            </w:r>
          </w:p>
        </w:tc>
        <w:tc>
          <w:tcPr>
            <w:tcW w:w="2177"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0.093</w:t>
            </w:r>
          </w:p>
        </w:tc>
      </w:tr>
      <w:tr w:rsidR="00FC0A31" w:rsidRPr="00FC0A31" w:rsidTr="00FC0A31">
        <w:trPr>
          <w:trHeight w:val="298"/>
        </w:trPr>
        <w:tc>
          <w:tcPr>
            <w:tcW w:w="989"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3</w:t>
            </w:r>
          </w:p>
        </w:tc>
        <w:tc>
          <w:tcPr>
            <w:tcW w:w="1268"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w:t>
            </w:r>
          </w:p>
        </w:tc>
        <w:tc>
          <w:tcPr>
            <w:tcW w:w="1976"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1519.2</w:t>
            </w:r>
          </w:p>
        </w:tc>
        <w:tc>
          <w:tcPr>
            <w:tcW w:w="1941"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67.70%</w:t>
            </w:r>
          </w:p>
        </w:tc>
        <w:tc>
          <w:tcPr>
            <w:tcW w:w="2177"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0.095</w:t>
            </w:r>
          </w:p>
        </w:tc>
      </w:tr>
      <w:tr w:rsidR="00FC0A31" w:rsidRPr="00FC0A31" w:rsidTr="00FC0A31">
        <w:trPr>
          <w:trHeight w:val="298"/>
        </w:trPr>
        <w:tc>
          <w:tcPr>
            <w:tcW w:w="989"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3</w:t>
            </w:r>
          </w:p>
        </w:tc>
        <w:tc>
          <w:tcPr>
            <w:tcW w:w="1268"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w:t>
            </w:r>
          </w:p>
        </w:tc>
        <w:tc>
          <w:tcPr>
            <w:tcW w:w="1976"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1052.1</w:t>
            </w:r>
          </w:p>
        </w:tc>
        <w:tc>
          <w:tcPr>
            <w:tcW w:w="1941"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44.30%</w:t>
            </w:r>
          </w:p>
        </w:tc>
        <w:tc>
          <w:tcPr>
            <w:tcW w:w="2177"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0.09</w:t>
            </w:r>
          </w:p>
        </w:tc>
      </w:tr>
      <w:tr w:rsidR="00FC0A31" w:rsidRPr="00FC0A31" w:rsidTr="00FC0A31">
        <w:trPr>
          <w:trHeight w:val="298"/>
        </w:trPr>
        <w:tc>
          <w:tcPr>
            <w:tcW w:w="989"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3</w:t>
            </w:r>
          </w:p>
        </w:tc>
        <w:tc>
          <w:tcPr>
            <w:tcW w:w="1268"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3</w:t>
            </w:r>
          </w:p>
        </w:tc>
        <w:tc>
          <w:tcPr>
            <w:tcW w:w="1976"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874.3</w:t>
            </w:r>
          </w:p>
        </w:tc>
        <w:tc>
          <w:tcPr>
            <w:tcW w:w="1941"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25.70%</w:t>
            </w:r>
          </w:p>
        </w:tc>
        <w:tc>
          <w:tcPr>
            <w:tcW w:w="2177"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0.109</w:t>
            </w:r>
          </w:p>
        </w:tc>
      </w:tr>
      <w:tr w:rsidR="00FC0A31" w:rsidRPr="00FC0A31" w:rsidTr="00FC0A31">
        <w:trPr>
          <w:trHeight w:val="298"/>
        </w:trPr>
        <w:tc>
          <w:tcPr>
            <w:tcW w:w="989"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3</w:t>
            </w:r>
          </w:p>
        </w:tc>
        <w:tc>
          <w:tcPr>
            <w:tcW w:w="1268"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4</w:t>
            </w:r>
          </w:p>
        </w:tc>
        <w:tc>
          <w:tcPr>
            <w:tcW w:w="1976"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1004.4</w:t>
            </w:r>
          </w:p>
        </w:tc>
        <w:tc>
          <w:tcPr>
            <w:tcW w:w="1941"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47.80%</w:t>
            </w:r>
          </w:p>
        </w:tc>
        <w:tc>
          <w:tcPr>
            <w:tcW w:w="2177"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0.087</w:t>
            </w:r>
          </w:p>
        </w:tc>
      </w:tr>
      <w:tr w:rsidR="00FC0A31" w:rsidRPr="00FC0A31" w:rsidTr="00FC0A31">
        <w:trPr>
          <w:trHeight w:val="298"/>
        </w:trPr>
        <w:tc>
          <w:tcPr>
            <w:tcW w:w="989"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4</w:t>
            </w:r>
          </w:p>
        </w:tc>
        <w:tc>
          <w:tcPr>
            <w:tcW w:w="1268"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w:t>
            </w:r>
          </w:p>
        </w:tc>
        <w:tc>
          <w:tcPr>
            <w:tcW w:w="1976"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1256</w:t>
            </w:r>
          </w:p>
        </w:tc>
        <w:tc>
          <w:tcPr>
            <w:tcW w:w="1941"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50.40%</w:t>
            </w:r>
          </w:p>
        </w:tc>
        <w:tc>
          <w:tcPr>
            <w:tcW w:w="2177"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0.099</w:t>
            </w:r>
          </w:p>
        </w:tc>
      </w:tr>
      <w:tr w:rsidR="00FC0A31" w:rsidRPr="00FC0A31" w:rsidTr="00FC0A31">
        <w:trPr>
          <w:trHeight w:val="298"/>
        </w:trPr>
        <w:tc>
          <w:tcPr>
            <w:tcW w:w="989"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4</w:t>
            </w:r>
          </w:p>
        </w:tc>
        <w:tc>
          <w:tcPr>
            <w:tcW w:w="1268"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w:t>
            </w:r>
          </w:p>
        </w:tc>
        <w:tc>
          <w:tcPr>
            <w:tcW w:w="1976"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687.1</w:t>
            </w:r>
          </w:p>
        </w:tc>
        <w:tc>
          <w:tcPr>
            <w:tcW w:w="1941"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39.10%</w:t>
            </w:r>
          </w:p>
        </w:tc>
        <w:tc>
          <w:tcPr>
            <w:tcW w:w="2177"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0.065</w:t>
            </w:r>
          </w:p>
        </w:tc>
      </w:tr>
      <w:tr w:rsidR="00FC0A31" w:rsidRPr="00FC0A31" w:rsidTr="00FC0A31">
        <w:trPr>
          <w:trHeight w:val="298"/>
        </w:trPr>
        <w:tc>
          <w:tcPr>
            <w:tcW w:w="989"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4</w:t>
            </w:r>
          </w:p>
        </w:tc>
        <w:tc>
          <w:tcPr>
            <w:tcW w:w="1268"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3</w:t>
            </w:r>
          </w:p>
        </w:tc>
        <w:tc>
          <w:tcPr>
            <w:tcW w:w="1976"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843.1</w:t>
            </w:r>
          </w:p>
        </w:tc>
        <w:tc>
          <w:tcPr>
            <w:tcW w:w="1941"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31.30%</w:t>
            </w:r>
          </w:p>
        </w:tc>
        <w:tc>
          <w:tcPr>
            <w:tcW w:w="2177"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0.091</w:t>
            </w:r>
          </w:p>
        </w:tc>
      </w:tr>
      <w:tr w:rsidR="00FC0A31" w:rsidRPr="00FC0A31" w:rsidTr="00FC0A31">
        <w:trPr>
          <w:trHeight w:val="298"/>
        </w:trPr>
        <w:tc>
          <w:tcPr>
            <w:tcW w:w="989"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4</w:t>
            </w:r>
          </w:p>
        </w:tc>
        <w:tc>
          <w:tcPr>
            <w:tcW w:w="1268"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4</w:t>
            </w:r>
          </w:p>
        </w:tc>
        <w:tc>
          <w:tcPr>
            <w:tcW w:w="1976"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1211.7</w:t>
            </w:r>
          </w:p>
        </w:tc>
        <w:tc>
          <w:tcPr>
            <w:tcW w:w="1941"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52.20%</w:t>
            </w:r>
          </w:p>
        </w:tc>
        <w:tc>
          <w:tcPr>
            <w:tcW w:w="2177"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0.085</w:t>
            </w:r>
          </w:p>
        </w:tc>
      </w:tr>
      <w:tr w:rsidR="00FC0A31" w:rsidRPr="00FC0A31" w:rsidTr="00FC0A31">
        <w:trPr>
          <w:trHeight w:val="298"/>
        </w:trPr>
        <w:tc>
          <w:tcPr>
            <w:tcW w:w="989"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5</w:t>
            </w:r>
          </w:p>
        </w:tc>
        <w:tc>
          <w:tcPr>
            <w:tcW w:w="1268"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w:t>
            </w:r>
          </w:p>
        </w:tc>
        <w:tc>
          <w:tcPr>
            <w:tcW w:w="1976"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672.8</w:t>
            </w:r>
          </w:p>
        </w:tc>
        <w:tc>
          <w:tcPr>
            <w:tcW w:w="1941"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47.90%</w:t>
            </w:r>
          </w:p>
        </w:tc>
        <w:tc>
          <w:tcPr>
            <w:tcW w:w="2177"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0.073</w:t>
            </w:r>
          </w:p>
        </w:tc>
      </w:tr>
      <w:tr w:rsidR="00FC0A31" w:rsidRPr="00FC0A31" w:rsidTr="00FC0A31">
        <w:trPr>
          <w:trHeight w:val="298"/>
        </w:trPr>
        <w:tc>
          <w:tcPr>
            <w:tcW w:w="989"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5</w:t>
            </w:r>
          </w:p>
        </w:tc>
        <w:tc>
          <w:tcPr>
            <w:tcW w:w="1268"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w:t>
            </w:r>
          </w:p>
        </w:tc>
        <w:tc>
          <w:tcPr>
            <w:tcW w:w="1976"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574.4</w:t>
            </w:r>
          </w:p>
        </w:tc>
        <w:tc>
          <w:tcPr>
            <w:tcW w:w="1941"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34.20%</w:t>
            </w:r>
          </w:p>
        </w:tc>
        <w:tc>
          <w:tcPr>
            <w:tcW w:w="2177"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0.068</w:t>
            </w:r>
          </w:p>
        </w:tc>
      </w:tr>
      <w:tr w:rsidR="00FC0A31" w:rsidRPr="00FC0A31" w:rsidTr="00FC0A31">
        <w:trPr>
          <w:trHeight w:val="298"/>
        </w:trPr>
        <w:tc>
          <w:tcPr>
            <w:tcW w:w="989"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5</w:t>
            </w:r>
          </w:p>
        </w:tc>
        <w:tc>
          <w:tcPr>
            <w:tcW w:w="1268"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3</w:t>
            </w:r>
          </w:p>
        </w:tc>
        <w:tc>
          <w:tcPr>
            <w:tcW w:w="1976"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596.3</w:t>
            </w:r>
          </w:p>
        </w:tc>
        <w:tc>
          <w:tcPr>
            <w:tcW w:w="1941"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35.80%</w:t>
            </w:r>
          </w:p>
        </w:tc>
        <w:tc>
          <w:tcPr>
            <w:tcW w:w="2177"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0.055</w:t>
            </w:r>
          </w:p>
        </w:tc>
      </w:tr>
      <w:tr w:rsidR="00FC0A31" w:rsidRPr="00FC0A31" w:rsidTr="00FC0A31">
        <w:trPr>
          <w:trHeight w:val="298"/>
        </w:trPr>
        <w:tc>
          <w:tcPr>
            <w:tcW w:w="989"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5</w:t>
            </w:r>
          </w:p>
        </w:tc>
        <w:tc>
          <w:tcPr>
            <w:tcW w:w="1268"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4</w:t>
            </w:r>
          </w:p>
        </w:tc>
        <w:tc>
          <w:tcPr>
            <w:tcW w:w="1976"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750.9</w:t>
            </w:r>
          </w:p>
        </w:tc>
        <w:tc>
          <w:tcPr>
            <w:tcW w:w="1941"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37.10%</w:t>
            </w:r>
          </w:p>
        </w:tc>
        <w:tc>
          <w:tcPr>
            <w:tcW w:w="2177"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0.089</w:t>
            </w:r>
          </w:p>
        </w:tc>
      </w:tr>
      <w:tr w:rsidR="00FC0A31" w:rsidRPr="00FC0A31" w:rsidTr="00FC0A31">
        <w:trPr>
          <w:trHeight w:val="298"/>
        </w:trPr>
        <w:tc>
          <w:tcPr>
            <w:tcW w:w="989"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6</w:t>
            </w:r>
          </w:p>
        </w:tc>
        <w:tc>
          <w:tcPr>
            <w:tcW w:w="1268"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w:t>
            </w:r>
          </w:p>
        </w:tc>
        <w:tc>
          <w:tcPr>
            <w:tcW w:w="1976"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1537.1</w:t>
            </w:r>
          </w:p>
        </w:tc>
        <w:tc>
          <w:tcPr>
            <w:tcW w:w="1941"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57.00%</w:t>
            </w:r>
          </w:p>
        </w:tc>
        <w:tc>
          <w:tcPr>
            <w:tcW w:w="2177"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0.098</w:t>
            </w:r>
          </w:p>
        </w:tc>
      </w:tr>
      <w:tr w:rsidR="00FC0A31" w:rsidRPr="00FC0A31" w:rsidTr="00FC0A31">
        <w:trPr>
          <w:trHeight w:val="298"/>
        </w:trPr>
        <w:tc>
          <w:tcPr>
            <w:tcW w:w="989"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6</w:t>
            </w:r>
          </w:p>
        </w:tc>
        <w:tc>
          <w:tcPr>
            <w:tcW w:w="1268"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w:t>
            </w:r>
          </w:p>
        </w:tc>
        <w:tc>
          <w:tcPr>
            <w:tcW w:w="1976"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770.7</w:t>
            </w:r>
          </w:p>
        </w:tc>
        <w:tc>
          <w:tcPr>
            <w:tcW w:w="1941"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45.30%</w:t>
            </w:r>
          </w:p>
        </w:tc>
        <w:tc>
          <w:tcPr>
            <w:tcW w:w="2177" w:type="dxa"/>
            <w:tcBorders>
              <w:top w:val="nil"/>
              <w:left w:val="nil"/>
              <w:bottom w:val="nil"/>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0.06</w:t>
            </w:r>
          </w:p>
        </w:tc>
      </w:tr>
      <w:tr w:rsidR="00FC0A31" w:rsidRPr="00FC0A31" w:rsidTr="00FC0A31">
        <w:trPr>
          <w:trHeight w:val="308"/>
        </w:trPr>
        <w:tc>
          <w:tcPr>
            <w:tcW w:w="989"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6</w:t>
            </w:r>
          </w:p>
        </w:tc>
        <w:tc>
          <w:tcPr>
            <w:tcW w:w="1268"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3</w:t>
            </w:r>
          </w:p>
        </w:tc>
        <w:tc>
          <w:tcPr>
            <w:tcW w:w="1976"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577.5</w:t>
            </w:r>
          </w:p>
        </w:tc>
        <w:tc>
          <w:tcPr>
            <w:tcW w:w="1941"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25.90%</w:t>
            </w:r>
          </w:p>
        </w:tc>
        <w:tc>
          <w:tcPr>
            <w:tcW w:w="2177" w:type="dxa"/>
            <w:tcBorders>
              <w:top w:val="nil"/>
              <w:left w:val="nil"/>
              <w:bottom w:val="nil"/>
              <w:right w:val="nil"/>
            </w:tcBorders>
            <w:shd w:val="clear" w:color="000000" w:fill="D3DFEE"/>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0.082</w:t>
            </w:r>
          </w:p>
        </w:tc>
      </w:tr>
      <w:tr w:rsidR="00FC0A31" w:rsidRPr="00FC0A31" w:rsidTr="00FC0A31">
        <w:trPr>
          <w:trHeight w:val="308"/>
        </w:trPr>
        <w:tc>
          <w:tcPr>
            <w:tcW w:w="989" w:type="dxa"/>
            <w:tcBorders>
              <w:top w:val="nil"/>
              <w:left w:val="nil"/>
              <w:bottom w:val="single" w:sz="8" w:space="0" w:color="4F81BD"/>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b/>
                <w:bCs/>
                <w:color w:val="000000"/>
                <w:kern w:val="0"/>
                <w:sz w:val="22"/>
                <w:szCs w:val="22"/>
                <w:lang w:val="en-GB" w:eastAsia="en-GB"/>
              </w:rPr>
            </w:pPr>
            <w:r w:rsidRPr="00FC0A31">
              <w:rPr>
                <w:rFonts w:eastAsia="Times New Roman"/>
                <w:b/>
                <w:bCs/>
                <w:color w:val="000000"/>
                <w:kern w:val="0"/>
                <w:sz w:val="22"/>
                <w:szCs w:val="22"/>
                <w:lang w:val="en-GB" w:eastAsia="en-GB"/>
              </w:rPr>
              <w:t>6</w:t>
            </w:r>
          </w:p>
        </w:tc>
        <w:tc>
          <w:tcPr>
            <w:tcW w:w="1268" w:type="dxa"/>
            <w:tcBorders>
              <w:top w:val="nil"/>
              <w:left w:val="nil"/>
              <w:bottom w:val="single" w:sz="8" w:space="0" w:color="4F81BD"/>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4</w:t>
            </w:r>
          </w:p>
        </w:tc>
        <w:tc>
          <w:tcPr>
            <w:tcW w:w="1976" w:type="dxa"/>
            <w:tcBorders>
              <w:top w:val="nil"/>
              <w:left w:val="nil"/>
              <w:bottom w:val="single" w:sz="8" w:space="0" w:color="4F81BD"/>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1138.3</w:t>
            </w:r>
          </w:p>
        </w:tc>
        <w:tc>
          <w:tcPr>
            <w:tcW w:w="1941" w:type="dxa"/>
            <w:tcBorders>
              <w:top w:val="nil"/>
              <w:left w:val="nil"/>
              <w:bottom w:val="single" w:sz="8" w:space="0" w:color="4F81BD"/>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41.70%</w:t>
            </w:r>
          </w:p>
        </w:tc>
        <w:tc>
          <w:tcPr>
            <w:tcW w:w="2177" w:type="dxa"/>
            <w:tcBorders>
              <w:top w:val="nil"/>
              <w:left w:val="nil"/>
              <w:bottom w:val="single" w:sz="8" w:space="0" w:color="4F81BD"/>
              <w:right w:val="nil"/>
            </w:tcBorders>
            <w:shd w:val="clear" w:color="auto" w:fill="auto"/>
            <w:noWrap/>
            <w:vAlign w:val="center"/>
            <w:hideMark/>
          </w:tcPr>
          <w:p w:rsidR="00FC0A31" w:rsidRPr="00FC0A31" w:rsidRDefault="00FC0A31" w:rsidP="00FC0A31">
            <w:pPr>
              <w:widowControl/>
              <w:wordWrap/>
              <w:autoSpaceDE/>
              <w:autoSpaceDN/>
              <w:spacing w:before="0" w:after="0"/>
              <w:jc w:val="right"/>
              <w:rPr>
                <w:rFonts w:eastAsia="Times New Roman"/>
                <w:color w:val="000000"/>
                <w:kern w:val="0"/>
                <w:sz w:val="22"/>
                <w:szCs w:val="22"/>
                <w:lang w:val="en-GB" w:eastAsia="en-GB"/>
              </w:rPr>
            </w:pPr>
            <w:r w:rsidRPr="00FC0A31">
              <w:rPr>
                <w:rFonts w:eastAsia="Times New Roman"/>
                <w:color w:val="000000"/>
                <w:kern w:val="0"/>
                <w:sz w:val="22"/>
                <w:szCs w:val="22"/>
                <w:lang w:val="en-GB" w:eastAsia="en-GB"/>
              </w:rPr>
              <w:t>0.098</w:t>
            </w:r>
          </w:p>
        </w:tc>
      </w:tr>
    </w:tbl>
    <w:p w:rsidR="000B44A0" w:rsidRDefault="000B44A0" w:rsidP="000B44A0">
      <w:pPr>
        <w:rPr>
          <w:rFonts w:cs="Arial"/>
          <w:sz w:val="24"/>
          <w:szCs w:val="24"/>
        </w:rPr>
      </w:pPr>
    </w:p>
    <w:p w:rsidR="000B44A0" w:rsidRDefault="000B44A0" w:rsidP="000B44A0">
      <w:pPr>
        <w:rPr>
          <w:rFonts w:cs="Arial"/>
          <w:sz w:val="24"/>
          <w:szCs w:val="24"/>
        </w:rPr>
      </w:pPr>
      <w:r w:rsidRPr="000B44A0">
        <w:rPr>
          <w:rFonts w:cs="Arial"/>
          <w:sz w:val="24"/>
          <w:szCs w:val="24"/>
        </w:rPr>
        <w:t xml:space="preserve">Use the above data to forecast revenue for the </w:t>
      </w:r>
      <w:r w:rsidR="00194C2F">
        <w:rPr>
          <w:rFonts w:cs="Arial"/>
          <w:sz w:val="24"/>
          <w:szCs w:val="24"/>
        </w:rPr>
        <w:t>next</w:t>
      </w:r>
      <w:r w:rsidRPr="000B44A0">
        <w:rPr>
          <w:rFonts w:cs="Arial"/>
          <w:sz w:val="24"/>
          <w:szCs w:val="24"/>
        </w:rPr>
        <w:t xml:space="preserve"> </w:t>
      </w:r>
      <w:r>
        <w:rPr>
          <w:rFonts w:cs="Arial"/>
          <w:sz w:val="24"/>
          <w:szCs w:val="24"/>
        </w:rPr>
        <w:t xml:space="preserve">three year </w:t>
      </w:r>
      <w:r w:rsidRPr="000B44A0">
        <w:rPr>
          <w:rFonts w:cs="Arial"/>
          <w:sz w:val="24"/>
          <w:szCs w:val="24"/>
        </w:rPr>
        <w:t>period</w:t>
      </w:r>
      <w:r w:rsidR="00194C2F">
        <w:rPr>
          <w:rFonts w:cs="Arial"/>
          <w:sz w:val="24"/>
          <w:szCs w:val="24"/>
        </w:rPr>
        <w:t xml:space="preserve"> (year 7</w:t>
      </w:r>
      <w:proofErr w:type="gramStart"/>
      <w:r w:rsidR="00194C2F">
        <w:rPr>
          <w:rFonts w:cs="Arial"/>
          <w:sz w:val="24"/>
          <w:szCs w:val="24"/>
        </w:rPr>
        <w:t>,8</w:t>
      </w:r>
      <w:proofErr w:type="gramEnd"/>
      <w:r w:rsidR="00194C2F">
        <w:rPr>
          <w:rFonts w:cs="Arial"/>
          <w:sz w:val="24"/>
          <w:szCs w:val="24"/>
        </w:rPr>
        <w:t xml:space="preserve"> and 9)</w:t>
      </w:r>
      <w:r>
        <w:rPr>
          <w:rFonts w:cs="Arial"/>
          <w:sz w:val="24"/>
          <w:szCs w:val="24"/>
        </w:rPr>
        <w:t xml:space="preserve">, under the following </w:t>
      </w:r>
      <w:r w:rsidR="008715BF">
        <w:rPr>
          <w:rFonts w:cs="Arial"/>
          <w:sz w:val="24"/>
          <w:szCs w:val="24"/>
        </w:rPr>
        <w:t>two</w:t>
      </w:r>
      <w:r>
        <w:rPr>
          <w:rFonts w:cs="Arial"/>
          <w:sz w:val="24"/>
          <w:szCs w:val="24"/>
        </w:rPr>
        <w:t xml:space="preserve"> scenarios:</w:t>
      </w:r>
    </w:p>
    <w:p w:rsidR="000B44A0" w:rsidRDefault="000B44A0" w:rsidP="000B44A0">
      <w:pPr>
        <w:pStyle w:val="ListParagraph"/>
        <w:numPr>
          <w:ilvl w:val="0"/>
          <w:numId w:val="1"/>
        </w:numPr>
        <w:rPr>
          <w:rFonts w:cs="Arial"/>
          <w:sz w:val="24"/>
          <w:szCs w:val="24"/>
        </w:rPr>
      </w:pPr>
      <w:r>
        <w:rPr>
          <w:rFonts w:cs="Arial"/>
          <w:sz w:val="24"/>
          <w:szCs w:val="24"/>
        </w:rPr>
        <w:lastRenderedPageBreak/>
        <w:t xml:space="preserve">Base: </w:t>
      </w:r>
      <w:r w:rsidR="00D7238E" w:rsidRPr="00D7238E">
        <w:rPr>
          <w:rFonts w:cs="Arial"/>
          <w:sz w:val="24"/>
          <w:szCs w:val="24"/>
        </w:rPr>
        <w:t xml:space="preserve">The Base scenario assumes that the </w:t>
      </w:r>
      <w:r w:rsidR="00D7238E">
        <w:rPr>
          <w:rFonts w:cs="Arial"/>
          <w:sz w:val="24"/>
          <w:szCs w:val="24"/>
        </w:rPr>
        <w:t>conditions that affect the WCF (such as prevalent wind speed and direction) and electricity ‘forward’ prices (such as level of completion and government policy on renewables) will not change substantially in the near future</w:t>
      </w:r>
      <w:r w:rsidR="00D7238E" w:rsidRPr="00D7238E">
        <w:rPr>
          <w:rFonts w:cs="Arial"/>
          <w:sz w:val="24"/>
          <w:szCs w:val="24"/>
        </w:rPr>
        <w:t>.</w:t>
      </w:r>
    </w:p>
    <w:p w:rsidR="00D7238E" w:rsidRPr="000B44A0" w:rsidRDefault="00D7238E" w:rsidP="00D7238E">
      <w:pPr>
        <w:pStyle w:val="ListParagraph"/>
        <w:rPr>
          <w:rFonts w:cs="Arial"/>
          <w:sz w:val="24"/>
          <w:szCs w:val="24"/>
        </w:rPr>
      </w:pPr>
    </w:p>
    <w:p w:rsidR="001262FD" w:rsidRPr="001262FD" w:rsidRDefault="00D7238E" w:rsidP="001262FD">
      <w:pPr>
        <w:pStyle w:val="ListParagraph"/>
        <w:numPr>
          <w:ilvl w:val="0"/>
          <w:numId w:val="1"/>
        </w:numPr>
        <w:rPr>
          <w:rFonts w:cs="Arial"/>
          <w:sz w:val="24"/>
          <w:szCs w:val="24"/>
        </w:rPr>
      </w:pPr>
      <w:r w:rsidRPr="00D7238E">
        <w:rPr>
          <w:rFonts w:cs="Arial"/>
          <w:sz w:val="24"/>
          <w:szCs w:val="24"/>
        </w:rPr>
        <w:t xml:space="preserve">‘New competitor’: This scenario assumes that a competitor will be granted license to invest in a further off-shore site in the Estuary. This will have a detrimental effect on </w:t>
      </w:r>
      <w:r>
        <w:rPr>
          <w:rFonts w:cs="Arial"/>
          <w:sz w:val="24"/>
          <w:szCs w:val="24"/>
        </w:rPr>
        <w:t xml:space="preserve">both the </w:t>
      </w:r>
      <w:r w:rsidRPr="00D7238E">
        <w:rPr>
          <w:rFonts w:cs="Arial"/>
          <w:sz w:val="24"/>
          <w:szCs w:val="24"/>
        </w:rPr>
        <w:t xml:space="preserve">WCF and </w:t>
      </w:r>
      <w:r>
        <w:rPr>
          <w:rFonts w:cs="Arial"/>
          <w:sz w:val="24"/>
          <w:szCs w:val="24"/>
        </w:rPr>
        <w:t>the</w:t>
      </w:r>
      <w:r w:rsidRPr="00D7238E">
        <w:rPr>
          <w:rFonts w:cs="Arial"/>
          <w:sz w:val="24"/>
          <w:szCs w:val="24"/>
        </w:rPr>
        <w:t xml:space="preserve"> electricity ‘forward’ prices. </w:t>
      </w:r>
      <w:r w:rsidR="00E229A2">
        <w:rPr>
          <w:rFonts w:cs="Arial"/>
          <w:sz w:val="24"/>
          <w:szCs w:val="24"/>
        </w:rPr>
        <w:t>In more detail, WCF is expected to be reduced by a</w:t>
      </w:r>
      <w:r w:rsidR="001262FD">
        <w:rPr>
          <w:rFonts w:cs="Arial"/>
          <w:sz w:val="24"/>
          <w:szCs w:val="24"/>
        </w:rPr>
        <w:t xml:space="preserve"> certain percentage relative to the Base scenario, while electricity ‘forward’ prices are expected to develop as shown in table 2 below:</w:t>
      </w:r>
    </w:p>
    <w:p w:rsidR="001262FD" w:rsidRPr="001262FD" w:rsidRDefault="001262FD" w:rsidP="001262FD">
      <w:pPr>
        <w:rPr>
          <w:rFonts w:cs="Arial"/>
          <w:b/>
          <w:sz w:val="24"/>
          <w:szCs w:val="24"/>
        </w:rPr>
      </w:pPr>
      <w:r w:rsidRPr="001262FD">
        <w:rPr>
          <w:rFonts w:cs="Arial"/>
          <w:b/>
          <w:sz w:val="24"/>
          <w:szCs w:val="24"/>
        </w:rPr>
        <w:t xml:space="preserve">Table 1: </w:t>
      </w:r>
      <w:r>
        <w:rPr>
          <w:rFonts w:cs="Arial"/>
          <w:b/>
          <w:sz w:val="24"/>
          <w:szCs w:val="24"/>
        </w:rPr>
        <w:t xml:space="preserve">‘Uplift’ factors for WCF and expected values for </w:t>
      </w:r>
      <w:r w:rsidRPr="001262FD">
        <w:rPr>
          <w:rFonts w:cs="Arial"/>
          <w:b/>
          <w:sz w:val="24"/>
          <w:szCs w:val="24"/>
        </w:rPr>
        <w:t>electricity ‘forward’ prices</w:t>
      </w:r>
      <w:r>
        <w:rPr>
          <w:rFonts w:cs="Arial"/>
          <w:b/>
          <w:sz w:val="24"/>
          <w:szCs w:val="24"/>
        </w:rPr>
        <w:t xml:space="preserve">  </w:t>
      </w:r>
    </w:p>
    <w:tbl>
      <w:tblPr>
        <w:tblStyle w:val="LightShading-Accent1"/>
        <w:tblW w:w="8747" w:type="dxa"/>
        <w:tblLook w:val="04A0" w:firstRow="1" w:lastRow="0" w:firstColumn="1" w:lastColumn="0" w:noHBand="0" w:noVBand="1"/>
      </w:tblPr>
      <w:tblGrid>
        <w:gridCol w:w="2766"/>
        <w:gridCol w:w="2766"/>
        <w:gridCol w:w="3215"/>
      </w:tblGrid>
      <w:tr w:rsidR="001262FD" w:rsidRPr="001262FD" w:rsidTr="00A067F9">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766" w:type="dxa"/>
            <w:noWrap/>
            <w:hideMark/>
          </w:tcPr>
          <w:p w:rsidR="001262FD" w:rsidRPr="001262FD" w:rsidRDefault="001262FD" w:rsidP="001262FD">
            <w:pPr>
              <w:widowControl/>
              <w:wordWrap/>
              <w:autoSpaceDE/>
              <w:autoSpaceDN/>
              <w:spacing w:before="0" w:after="0"/>
              <w:jc w:val="center"/>
              <w:rPr>
                <w:rFonts w:eastAsia="Times New Roman"/>
                <w:color w:val="000000"/>
                <w:kern w:val="0"/>
                <w:sz w:val="22"/>
                <w:szCs w:val="22"/>
                <w:lang w:val="en-GB" w:eastAsia="en-GB"/>
              </w:rPr>
            </w:pPr>
            <w:r>
              <w:rPr>
                <w:rFonts w:eastAsia="Times New Roman"/>
                <w:color w:val="000000"/>
                <w:kern w:val="0"/>
                <w:sz w:val="22"/>
                <w:szCs w:val="22"/>
                <w:lang w:val="en-GB" w:eastAsia="en-GB"/>
              </w:rPr>
              <w:t>Year</w:t>
            </w:r>
          </w:p>
        </w:tc>
        <w:tc>
          <w:tcPr>
            <w:tcW w:w="2766" w:type="dxa"/>
            <w:noWrap/>
            <w:hideMark/>
          </w:tcPr>
          <w:p w:rsidR="001262FD" w:rsidRPr="001262FD" w:rsidRDefault="001262FD" w:rsidP="001262FD">
            <w:pPr>
              <w:widowControl/>
              <w:wordWrap/>
              <w:autoSpaceDE/>
              <w:autoSpaceDN/>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GB" w:eastAsia="en-GB"/>
              </w:rPr>
            </w:pPr>
            <w:r w:rsidRPr="001262FD">
              <w:rPr>
                <w:rFonts w:eastAsia="Times New Roman"/>
                <w:color w:val="000000"/>
                <w:kern w:val="0"/>
                <w:sz w:val="22"/>
                <w:szCs w:val="22"/>
                <w:lang w:val="en-GB" w:eastAsia="en-GB"/>
              </w:rPr>
              <w:t>WCF</w:t>
            </w:r>
            <w:r>
              <w:rPr>
                <w:rFonts w:eastAsia="Times New Roman"/>
                <w:color w:val="000000"/>
                <w:kern w:val="0"/>
                <w:sz w:val="22"/>
                <w:szCs w:val="22"/>
                <w:lang w:val="en-GB" w:eastAsia="en-GB"/>
              </w:rPr>
              <w:t xml:space="preserve"> ‘uplift’ </w:t>
            </w:r>
          </w:p>
        </w:tc>
        <w:tc>
          <w:tcPr>
            <w:tcW w:w="3215" w:type="dxa"/>
            <w:noWrap/>
            <w:hideMark/>
          </w:tcPr>
          <w:p w:rsidR="001262FD" w:rsidRPr="001262FD" w:rsidRDefault="001262FD" w:rsidP="001262FD">
            <w:pPr>
              <w:widowControl/>
              <w:wordWrap/>
              <w:autoSpaceDE/>
              <w:autoSpaceDN/>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kern w:val="0"/>
                <w:sz w:val="22"/>
                <w:szCs w:val="22"/>
                <w:lang w:val="en-GB" w:eastAsia="en-GB"/>
              </w:rPr>
            </w:pPr>
            <w:r w:rsidRPr="001262FD">
              <w:rPr>
                <w:rFonts w:eastAsia="Times New Roman"/>
                <w:color w:val="000000"/>
                <w:kern w:val="0"/>
                <w:sz w:val="22"/>
                <w:szCs w:val="22"/>
                <w:lang w:val="en-GB" w:eastAsia="en-GB"/>
              </w:rPr>
              <w:t>Electricity 'forward' prices</w:t>
            </w:r>
          </w:p>
        </w:tc>
      </w:tr>
      <w:tr w:rsidR="001262FD" w:rsidRPr="001262FD" w:rsidTr="00A067F9">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766" w:type="dxa"/>
            <w:noWrap/>
            <w:hideMark/>
          </w:tcPr>
          <w:p w:rsidR="001262FD" w:rsidRPr="001262FD" w:rsidRDefault="00194C2F" w:rsidP="001262FD">
            <w:pPr>
              <w:widowControl/>
              <w:wordWrap/>
              <w:autoSpaceDE/>
              <w:autoSpaceDN/>
              <w:spacing w:before="0" w:after="0"/>
              <w:jc w:val="center"/>
              <w:rPr>
                <w:rFonts w:eastAsia="Times New Roman"/>
                <w:color w:val="000000"/>
                <w:kern w:val="0"/>
                <w:sz w:val="22"/>
                <w:szCs w:val="22"/>
                <w:lang w:val="en-GB" w:eastAsia="en-GB"/>
              </w:rPr>
            </w:pPr>
            <w:r>
              <w:rPr>
                <w:rFonts w:eastAsia="Times New Roman"/>
                <w:color w:val="000000"/>
                <w:kern w:val="0"/>
                <w:sz w:val="22"/>
                <w:szCs w:val="22"/>
                <w:lang w:val="en-GB" w:eastAsia="en-GB"/>
              </w:rPr>
              <w:t>7</w:t>
            </w:r>
          </w:p>
        </w:tc>
        <w:tc>
          <w:tcPr>
            <w:tcW w:w="2766" w:type="dxa"/>
            <w:noWrap/>
            <w:hideMark/>
          </w:tcPr>
          <w:p w:rsidR="001262FD" w:rsidRPr="001262FD" w:rsidRDefault="001262FD" w:rsidP="001262FD">
            <w:pPr>
              <w:widowControl/>
              <w:wordWrap/>
              <w:autoSpaceDE/>
              <w:autoSpaceDN/>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GB" w:eastAsia="en-GB"/>
              </w:rPr>
            </w:pPr>
            <w:r w:rsidRPr="001262FD">
              <w:rPr>
                <w:rFonts w:eastAsia="Times New Roman"/>
                <w:color w:val="000000"/>
                <w:kern w:val="0"/>
                <w:sz w:val="22"/>
                <w:szCs w:val="22"/>
                <w:lang w:val="en-GB" w:eastAsia="en-GB"/>
              </w:rPr>
              <w:t>-15%</w:t>
            </w:r>
          </w:p>
        </w:tc>
        <w:tc>
          <w:tcPr>
            <w:tcW w:w="3215" w:type="dxa"/>
            <w:noWrap/>
            <w:hideMark/>
          </w:tcPr>
          <w:p w:rsidR="001262FD" w:rsidRPr="001262FD" w:rsidRDefault="001262FD" w:rsidP="001262FD">
            <w:pPr>
              <w:widowControl/>
              <w:wordWrap/>
              <w:autoSpaceDE/>
              <w:autoSpaceDN/>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GB" w:eastAsia="en-GB"/>
              </w:rPr>
            </w:pPr>
            <w:r w:rsidRPr="001262FD">
              <w:rPr>
                <w:rFonts w:eastAsia="Times New Roman"/>
                <w:color w:val="000000"/>
                <w:kern w:val="0"/>
                <w:sz w:val="22"/>
                <w:szCs w:val="22"/>
                <w:lang w:val="en-GB" w:eastAsia="en-GB"/>
              </w:rPr>
              <w:t>0.075</w:t>
            </w:r>
          </w:p>
        </w:tc>
      </w:tr>
      <w:tr w:rsidR="001262FD" w:rsidRPr="001262FD" w:rsidTr="00A067F9">
        <w:trPr>
          <w:trHeight w:val="341"/>
        </w:trPr>
        <w:tc>
          <w:tcPr>
            <w:cnfStyle w:val="001000000000" w:firstRow="0" w:lastRow="0" w:firstColumn="1" w:lastColumn="0" w:oddVBand="0" w:evenVBand="0" w:oddHBand="0" w:evenHBand="0" w:firstRowFirstColumn="0" w:firstRowLastColumn="0" w:lastRowFirstColumn="0" w:lastRowLastColumn="0"/>
            <w:tcW w:w="2766" w:type="dxa"/>
            <w:noWrap/>
            <w:hideMark/>
          </w:tcPr>
          <w:p w:rsidR="001262FD" w:rsidRPr="001262FD" w:rsidRDefault="00194C2F" w:rsidP="001262FD">
            <w:pPr>
              <w:widowControl/>
              <w:wordWrap/>
              <w:autoSpaceDE/>
              <w:autoSpaceDN/>
              <w:spacing w:before="0" w:after="0"/>
              <w:jc w:val="center"/>
              <w:rPr>
                <w:rFonts w:eastAsia="Times New Roman"/>
                <w:color w:val="000000"/>
                <w:kern w:val="0"/>
                <w:sz w:val="22"/>
                <w:szCs w:val="22"/>
                <w:lang w:val="en-GB" w:eastAsia="en-GB"/>
              </w:rPr>
            </w:pPr>
            <w:r>
              <w:rPr>
                <w:rFonts w:eastAsia="Times New Roman"/>
                <w:color w:val="000000"/>
                <w:kern w:val="0"/>
                <w:sz w:val="22"/>
                <w:szCs w:val="22"/>
                <w:lang w:val="en-GB" w:eastAsia="en-GB"/>
              </w:rPr>
              <w:t>8</w:t>
            </w:r>
          </w:p>
        </w:tc>
        <w:tc>
          <w:tcPr>
            <w:tcW w:w="2766" w:type="dxa"/>
            <w:noWrap/>
            <w:hideMark/>
          </w:tcPr>
          <w:p w:rsidR="001262FD" w:rsidRPr="001262FD" w:rsidRDefault="001262FD" w:rsidP="001262FD">
            <w:pPr>
              <w:widowControl/>
              <w:wordWrap/>
              <w:autoSpaceDE/>
              <w:autoSpaceDN/>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GB" w:eastAsia="en-GB"/>
              </w:rPr>
            </w:pPr>
            <w:r w:rsidRPr="001262FD">
              <w:rPr>
                <w:rFonts w:eastAsia="Times New Roman"/>
                <w:color w:val="000000"/>
                <w:kern w:val="0"/>
                <w:sz w:val="22"/>
                <w:szCs w:val="22"/>
                <w:lang w:val="en-GB" w:eastAsia="en-GB"/>
              </w:rPr>
              <w:t>-10%</w:t>
            </w:r>
          </w:p>
        </w:tc>
        <w:tc>
          <w:tcPr>
            <w:tcW w:w="3215" w:type="dxa"/>
            <w:noWrap/>
            <w:hideMark/>
          </w:tcPr>
          <w:p w:rsidR="001262FD" w:rsidRPr="001262FD" w:rsidRDefault="001262FD" w:rsidP="001262FD">
            <w:pPr>
              <w:widowControl/>
              <w:wordWrap/>
              <w:autoSpaceDE/>
              <w:autoSpaceDN/>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val="en-GB" w:eastAsia="en-GB"/>
              </w:rPr>
            </w:pPr>
            <w:r w:rsidRPr="001262FD">
              <w:rPr>
                <w:rFonts w:eastAsia="Times New Roman"/>
                <w:color w:val="000000"/>
                <w:kern w:val="0"/>
                <w:sz w:val="22"/>
                <w:szCs w:val="22"/>
                <w:lang w:val="en-GB" w:eastAsia="en-GB"/>
              </w:rPr>
              <w:t>0.07</w:t>
            </w:r>
          </w:p>
        </w:tc>
      </w:tr>
      <w:tr w:rsidR="001262FD" w:rsidRPr="001262FD" w:rsidTr="00A067F9">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766" w:type="dxa"/>
            <w:noWrap/>
            <w:hideMark/>
          </w:tcPr>
          <w:p w:rsidR="001262FD" w:rsidRPr="001262FD" w:rsidRDefault="00194C2F" w:rsidP="001262FD">
            <w:pPr>
              <w:widowControl/>
              <w:wordWrap/>
              <w:autoSpaceDE/>
              <w:autoSpaceDN/>
              <w:spacing w:before="0" w:after="0"/>
              <w:jc w:val="center"/>
              <w:rPr>
                <w:rFonts w:eastAsia="Times New Roman"/>
                <w:color w:val="000000"/>
                <w:kern w:val="0"/>
                <w:sz w:val="22"/>
                <w:szCs w:val="22"/>
                <w:lang w:val="en-GB" w:eastAsia="en-GB"/>
              </w:rPr>
            </w:pPr>
            <w:r>
              <w:rPr>
                <w:rFonts w:eastAsia="Times New Roman"/>
                <w:color w:val="000000"/>
                <w:kern w:val="0"/>
                <w:sz w:val="22"/>
                <w:szCs w:val="22"/>
                <w:lang w:val="en-GB" w:eastAsia="en-GB"/>
              </w:rPr>
              <w:t>9</w:t>
            </w:r>
          </w:p>
        </w:tc>
        <w:tc>
          <w:tcPr>
            <w:tcW w:w="2766" w:type="dxa"/>
            <w:noWrap/>
            <w:hideMark/>
          </w:tcPr>
          <w:p w:rsidR="001262FD" w:rsidRPr="001262FD" w:rsidRDefault="001262FD" w:rsidP="001262FD">
            <w:pPr>
              <w:widowControl/>
              <w:wordWrap/>
              <w:autoSpaceDE/>
              <w:autoSpaceDN/>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GB" w:eastAsia="en-GB"/>
              </w:rPr>
            </w:pPr>
            <w:r w:rsidRPr="001262FD">
              <w:rPr>
                <w:rFonts w:eastAsia="Times New Roman"/>
                <w:color w:val="000000"/>
                <w:kern w:val="0"/>
                <w:sz w:val="22"/>
                <w:szCs w:val="22"/>
                <w:lang w:val="en-GB" w:eastAsia="en-GB"/>
              </w:rPr>
              <w:t>-5%</w:t>
            </w:r>
          </w:p>
        </w:tc>
        <w:tc>
          <w:tcPr>
            <w:tcW w:w="3215" w:type="dxa"/>
            <w:noWrap/>
            <w:hideMark/>
          </w:tcPr>
          <w:p w:rsidR="001262FD" w:rsidRPr="001262FD" w:rsidRDefault="001262FD" w:rsidP="001262FD">
            <w:pPr>
              <w:widowControl/>
              <w:wordWrap/>
              <w:autoSpaceDE/>
              <w:autoSpaceDN/>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val="en-GB" w:eastAsia="en-GB"/>
              </w:rPr>
            </w:pPr>
            <w:r w:rsidRPr="001262FD">
              <w:rPr>
                <w:rFonts w:eastAsia="Times New Roman"/>
                <w:color w:val="000000"/>
                <w:kern w:val="0"/>
                <w:sz w:val="22"/>
                <w:szCs w:val="22"/>
                <w:lang w:val="en-GB" w:eastAsia="en-GB"/>
              </w:rPr>
              <w:t>0.068</w:t>
            </w:r>
          </w:p>
        </w:tc>
      </w:tr>
    </w:tbl>
    <w:p w:rsidR="001262FD" w:rsidRPr="00D7238E" w:rsidRDefault="001262FD" w:rsidP="001262FD">
      <w:pPr>
        <w:pStyle w:val="ListParagraph"/>
        <w:rPr>
          <w:rFonts w:cs="Arial"/>
          <w:sz w:val="24"/>
          <w:szCs w:val="24"/>
        </w:rPr>
      </w:pPr>
    </w:p>
    <w:sectPr w:rsidR="001262FD" w:rsidRPr="00D7238E" w:rsidSect="00CB4374">
      <w:pgSz w:w="11906" w:h="16838" w:code="9"/>
      <w:pgMar w:top="1134" w:right="1701" w:bottom="1560" w:left="1701" w:header="851" w:footer="992" w:gutter="0"/>
      <w:cols w:space="720"/>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3886"/>
    <w:multiLevelType w:val="hybridMultilevel"/>
    <w:tmpl w:val="01A441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94"/>
    <w:rsid w:val="00000294"/>
    <w:rsid w:val="00075891"/>
    <w:rsid w:val="000B44A0"/>
    <w:rsid w:val="000D05D4"/>
    <w:rsid w:val="001262FD"/>
    <w:rsid w:val="00194C2F"/>
    <w:rsid w:val="002029EA"/>
    <w:rsid w:val="00697D37"/>
    <w:rsid w:val="008715BF"/>
    <w:rsid w:val="00A067F9"/>
    <w:rsid w:val="00AD22F5"/>
    <w:rsid w:val="00AD418F"/>
    <w:rsid w:val="00CB4374"/>
    <w:rsid w:val="00D27510"/>
    <w:rsid w:val="00D7238E"/>
    <w:rsid w:val="00E207D2"/>
    <w:rsid w:val="00E229A2"/>
    <w:rsid w:val="00FC0A31"/>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31FC61E-8482-4F1E-A226-1E5B7C10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29EA"/>
    <w:pPr>
      <w:widowControl w:val="0"/>
      <w:wordWrap w:val="0"/>
      <w:autoSpaceDE w:val="0"/>
      <w:autoSpaceDN w:val="0"/>
      <w:spacing w:before="120" w:after="240"/>
      <w:jc w:val="both"/>
    </w:pPr>
    <w:rPr>
      <w:rFonts w:ascii="Calibri" w:hAnsi="Calibri"/>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idowControl w:val="0"/>
      <w:wordWrap w:val="0"/>
    </w:pPr>
  </w:style>
  <w:style w:type="character" w:customStyle="1" w:styleId="CharAttribute0">
    <w:name w:val="CharAttribute0"/>
    <w:rPr>
      <w:rFonts w:ascii="Times New Roman" w:eastAsia="Times New Roman" w:hAnsi="Times New Roman"/>
    </w:rPr>
  </w:style>
  <w:style w:type="character" w:styleId="Strong">
    <w:name w:val="Strong"/>
    <w:basedOn w:val="DefaultParagraphFont"/>
    <w:uiPriority w:val="22"/>
    <w:qFormat/>
    <w:rsid w:val="00697D37"/>
    <w:rPr>
      <w:b/>
      <w:bCs/>
    </w:rPr>
  </w:style>
  <w:style w:type="paragraph" w:styleId="NoSpacing">
    <w:name w:val="No Spacing"/>
    <w:uiPriority w:val="1"/>
    <w:qFormat/>
    <w:rsid w:val="00697D37"/>
    <w:pPr>
      <w:widowControl w:val="0"/>
      <w:wordWrap w:val="0"/>
      <w:autoSpaceDE w:val="0"/>
      <w:autoSpaceDN w:val="0"/>
      <w:jc w:val="both"/>
    </w:pPr>
    <w:rPr>
      <w:rFonts w:ascii="Batang"/>
      <w:kern w:val="2"/>
      <w:lang w:val="en-US" w:eastAsia="ko-KR"/>
    </w:rPr>
  </w:style>
  <w:style w:type="table" w:styleId="LightShading-Accent1">
    <w:name w:val="Light Shading Accent 1"/>
    <w:basedOn w:val="TableNormal"/>
    <w:uiPriority w:val="60"/>
    <w:rsid w:val="002029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0B4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885239">
      <w:bodyDiv w:val="1"/>
      <w:marLeft w:val="0"/>
      <w:marRight w:val="0"/>
      <w:marTop w:val="0"/>
      <w:marBottom w:val="0"/>
      <w:divBdr>
        <w:top w:val="none" w:sz="0" w:space="0" w:color="auto"/>
        <w:left w:val="none" w:sz="0" w:space="0" w:color="auto"/>
        <w:bottom w:val="none" w:sz="0" w:space="0" w:color="auto"/>
        <w:right w:val="none" w:sz="0" w:space="0" w:color="auto"/>
      </w:divBdr>
    </w:div>
    <w:div w:id="1161895727">
      <w:bodyDiv w:val="1"/>
      <w:marLeft w:val="0"/>
      <w:marRight w:val="0"/>
      <w:marTop w:val="0"/>
      <w:marBottom w:val="0"/>
      <w:divBdr>
        <w:top w:val="none" w:sz="0" w:space="0" w:color="auto"/>
        <w:left w:val="none" w:sz="0" w:space="0" w:color="auto"/>
        <w:bottom w:val="none" w:sz="0" w:space="0" w:color="auto"/>
        <w:right w:val="none" w:sz="0" w:space="0" w:color="auto"/>
      </w:divBdr>
    </w:div>
    <w:div w:id="140915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2236</Characters>
  <Application>Microsoft Office Word</Application>
  <DocSecurity>0</DocSecurity>
  <Lines>18</Lines>
  <Paragraphs>5</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Giraleas, Dimitris</cp:lastModifiedBy>
  <cp:revision>3</cp:revision>
  <dcterms:created xsi:type="dcterms:W3CDTF">2021-03-25T13:15:00Z</dcterms:created>
  <dcterms:modified xsi:type="dcterms:W3CDTF">2021-03-25T13:46:00Z</dcterms:modified>
  <cp:version>1</cp:version>
</cp:coreProperties>
</file>