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ind w:firstLine="720"/>
        <w:jc w:val="center"/>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Tiga Daerah</w:t>
      </w:r>
      <w:r w:rsidDel="00000000" w:rsidR="00000000" w:rsidRPr="00000000">
        <w:rPr>
          <w:rtl w:val="0"/>
        </w:rPr>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 SOAL RAPAT PLENO Κ.Ν.Ι. ΑΚAN DIBITJARAKAN.</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Poerworedjo, 23 Des. (Antara)</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rapat Badan Pekerdja K. N. Poesat di Poerworedjo pada tg. 21 Des. antara lain dipoetoeskan oentoek menoenda tanja djawab antara badan Perwakilan ini dengan Menteri Kehakiman tentang soal "tiga daerah" sampai tg. 3-1-’47 j.a.d. Dalam rapat dan andjoeran2 sesoedah Menteri Moeda mengadakan pertemoean j.a.d. itoe akan diroendingkan poela peratoeran2 Dewan Pertahanan Negara dan tentang rapat Peleno K.N. Poesat j.a.d. oentoek rapat tg. 3 Djan. '47 itoe para anggota Badan Pekerdja akan soedah ada di Poerworedjo tg. 2 Djan. '47 sore.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