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TWEEDE KAMER MENJETOEDJOEI.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dari pag. 1)</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Aneta, bahwa pembitjaraan di Tweede Kamer ini akan menjokong pembesar2 repoeblik dalam mejakinkan kepada rakjatnja soepaja persetoedjoean itoe diterima. Repoeblik haroes insjaf, bahwa penerimaan Tweede Kamer ini akan menarik simpati dikalangan politiek Internasional jang mana inipoen akan dapat dipergoenakan oentoek memperkokoh kedoedoekan repoeblik dikalangan rakjatnja sendiri.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mosi jang mendesak soepaja orang2 tawanan Belanda dari daerah dalam dikeloearkan, kalangan itoe menjatakan bahwa ini tentoe disamboet oleh pihak Belanda. Dalam hal ini kalanngan2 itoe djoega meminta soepaja diadakan missie gaboengan Indonesia dan Belanda seperti ke Madoera baroe2 ini oentoek menindjau2 kamp2 didaerah dalam, oentoek dapat memetjahkan beberapa kesoelitan2 jang mengenai pengankoetan orang2 tawanan itoe.</w:t>
      </w:r>
    </w:p>
    <w:p w:rsidR="00000000" w:rsidDel="00000000" w:rsidP="00000000" w:rsidRDefault="00000000" w:rsidRPr="00000000" w14:paraId="00000005">
      <w:pPr>
        <w:spacing w:after="200" w:line="259"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 Eerste Kamer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adanja pengharapan soepaja, naskah Linggardjati itoe djoega dibitjarakan di Eerste Kamer, kalangan2 di Djakarta menjatakan kepada Aneta, bahwa ini tidak perloe sebab, ini boekanlah satoe rentjana oendang2, walaupoen ini bisa mendjadi satoe oendang2.</w:t>
      </w:r>
    </w:p>
    <w:p w:rsidR="00000000" w:rsidDel="00000000" w:rsidP="00000000" w:rsidRDefault="00000000" w:rsidRPr="00000000" w14:paraId="00000007">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Reaksi di Den Passer</w:t>
      </w:r>
      <w:r w:rsidDel="00000000" w:rsidR="00000000" w:rsidRPr="00000000">
        <w:rPr>
          <w:rtl w:val="0"/>
        </w:rPr>
      </w:r>
    </w:p>
    <w:p w:rsidR="00000000" w:rsidDel="00000000" w:rsidP="00000000" w:rsidRDefault="00000000" w:rsidRPr="00000000" w14:paraId="00000008">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Passer, 21 Des.:</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DJOEROEWARTA A.N.P. mengabarkan, ketika dioemoemkan, bahwa Tweede Kamer Belanda menerima Linggardjati dalam konperensi Den Passer, semoea wakil2 itoe mengoendjoengi tempat beristirahat Dr. Van Mook oentoek menjatakan selamat. Soeasana dalam konperensi itoe dilipoeti oleh kegembiraan.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delegasi Indonesia dalam konperensi itoe menjatakan, bahwa berita ini haroes didjadikan satoe hal jang penting dalam pembitjaraan dalam konperensi terseboet.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