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Soal Bogor</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BOEKAN SOAL DALAM NEGERI SADJA, KATA MENTERI DALAM NEGERI</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Djokja, 2 Djan.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PADA tanggal 31 Des.-1946 Menteri Dalam Negeri Mr. Roem tiba di Djokja. Hari itoe djoega beliau menghadap Presiden oentoek memberikan laporan2 penting.</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Kepada pers beliau menerangkan, bahwa peristiwa Bogor adalah peristiwa jang besar dan boekan soal jang mengenai oeroesan dalam negeri sadja. Menoeroet beliau, koendjoengan beliau dan Dr. Koets di Bogor boeat pihak Indonesia ada hasilnja, sebab dengan demikian beliau dapat menjelidiki dan mengetahoei kedjadian2 di Bogor itoe dengan mata kepala sendiri. Boeat pihak Belanda boleh dikatakan hasilnja tidak ada, sebab Dr. Koets sedikit poen tidak bisa mempengaroehi perboeatan2 serdadoe2 Belanda. Soal ini telah diadjoekan kepada Panitia Tertinggi bagian Politik, tetapi hingga kini hasilnja beloem ada.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