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Orang Tionghoa di Manilla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27 Djan.: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Uitzicht, orgaan R.V.D. ada kita batja toelisan djoernalis Amerika Lawrence Griswold tentang keadaan di Pilipina, jang menoeroet katanja sangat kaloet dan terlaloe tjepat dimerdekakan, sehingga meroegikan kepada negeri itoe, katanja....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orang Tionghoa disana ditoelisnja sebagai berikoet:</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Kedoedoekan pedagang Tionghoa di Pilipina sangatlah soekar. Karena sebagian besar daripada penghidoepan ekonomi dan keoeangan dikemoedikan dan dipengaroehi oleh pendoedoek bangsa Tionghoa, maka mereka sangat dibentji oleh pendoedoek bangsa Pilipina, lebih daripada kebentjian kepada bangsa2 lainnja.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waktoe jang lampau, banjak djoega pemboenoehan2 jang dilakoekan kepada golongan Tionghoa, dan sangatlah gampangnja sifat kebentjian ini menjala poela pada orang Pilipina. Baroe baroe ini semoea waroeng2 dan Toko2 Tionghoa dan kantor dagang mereka ditembaki, sedang polisi Pilipina seolah2 memberi bantoean poela kepada peroesoeh itoe, dengan menoetoep peroesahaan soerat kabar Tionghoa doea boeah, dengan tidak sedikit djoega penerbit dan pemimpin redaksi s.k. Tionghoa itoe di beritahoekan oleh jang berwadjib. Djoega pasal pentjoelikan orang Tionghoa adalah mendjadi hal jang terdjadi sehari2.</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dalam s.k. Uitzicht, keloearan R.V.D. itoe.</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Sebagai warga negara jang ingin melihat negarakita  mendapat nama baik, kita harap di Repoeblik Indonesia semoea pendoedoek mendapat keselamatan, djiwa dan hartanja. Oentoek mentjapai itoe, tentoe semoeanja pendoedoek, (djadi djoega bangsa tetamoepoen tidak terketjoeali), haroes memberi bantoean sebanjak2nja kepada peratoeran2 jang didjalankan oleh negeri.</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