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Seroean Soeltan Perak</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BOLEH MELAWAN TAPI DJANGAN LANGGAR OENDANG2.</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11 Pebr.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KEMARIN doeloe Soeltan Perak, Sir Abdoel Azis, jang baroe pertama kali menghadiri rapat Partai Kebangsaan Melajoe, didepan beriboe2 rakjat jang mengoendjoengi rapat Partai Kebangsaan Melajoe di Koeala Kangsang, memberi nasehat, soepaja bekerdja giat bagi kepentingan bangsa dan agama, melawan sesoeatoe jang tidak disetoedjoei, tetapi djangan melanggar oendang2.</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