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Front persatoean Nasional</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ANDJOERAN DEWAN PARTAI</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 I.</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12 Pebr. (Antara):</w:t>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BEHOEBOENG dengan kehendak Belanda oentoek menanda tangani naskah Linggardjati menoeroet tafsiran pemerintahnja dalam Tweede Kamer jang disokong oleh serangan2 tenteranja didaerah Krian dan Sidoardjo, Dewan Partai P.N.I. pada tg. 11 Pebr. mengeloearkan makloemat jang mengandjoerkan membentoek Front Persatoean Nasional jang tegoeh boeat menangkis segala serangan atas kemerdekaan Repoeblik Indonesia. Makloemat itoe diantaranja berboenjinja sbb:</w:t>
      </w:r>
    </w:p>
    <w:p w:rsidR="00000000" w:rsidDel="00000000" w:rsidP="00000000" w:rsidRDefault="00000000" w:rsidRPr="00000000" w14:paraId="00000006">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P.N.I. menjokong tiap2 oesaha jang tertoedjoe kepada pertahanan Repoeblik Indonesia.</w:t>
      </w:r>
    </w:p>
    <w:p w:rsidR="00000000" w:rsidDel="00000000" w:rsidP="00000000" w:rsidRDefault="00000000" w:rsidRPr="00000000" w14:paraId="00000007">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Sesoeai dengan pasal 4 program politik kita jaitoe mengoesahakan pemoesatan tenaga rakjat oentoek mempertahankan kemerdekaan bangsa dan Tanah Air", maka sekarang tibalah waktoenja membentoek satoe Front Persatoean Nasional jang tegoeh boeat menangkis serangan imperialis pendjadjah.</w:t>
      </w:r>
    </w:p>
    <w:p w:rsidR="00000000" w:rsidDel="00000000" w:rsidP="00000000" w:rsidRDefault="00000000" w:rsidRPr="00000000" w14:paraId="00000008">
      <w:pPr>
        <w:numPr>
          <w:ilvl w:val="0"/>
          <w:numId w:val="1"/>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Mengandjoerkan kepada seloeroeh rakjat Indonesia oentoek menjempoernakan segala organisasi dan oesaha, baik digaris belakang maoepoen digaris depan.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