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INTERPRETASI JONKMAN AKIBAT LOGIS?</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pembesar Belanda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Belanda terlaloe rojaal --kata Romme–</w:t>
      </w:r>
      <w:r w:rsidDel="00000000" w:rsidR="00000000" w:rsidRPr="00000000">
        <w:rPr>
          <w:rtl w:val="0"/>
        </w:rPr>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14 Pebr. (Aneta):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KONPERENSI pers jang diadakan Sjahrir baroe2 ini, -demikian pendapat kalangan2 Belanda jang berkoeasa- telah menjatakan adanja kesoekaran, jg. masih terdapat dlm. penanda-tanganan rentjana persetoedjoean, kesoekaran mana berdasar psychologisch.</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Pembesar2 repoeblik berpendapat, bahwa kalau naskah jang telah diparap itoe ditandatangani setjara definitief dengan diakoeinja isi pendjelasan komisi djendral dan keterangan Jonkman. akan menjebabkan adanja penghalang2 baroe, pendirian mana jg. dapat diseboet psychologisch, beloem dapat dipandang sebagai boekti atau politik jang bertanggoeng djawab.</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Belanda jang resmi menerangkan soal ini sbb.:</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 jang menandatangani Linggardjati setjara "sec", sebenarnja mengoeatkan tidak lebih dan tidak koerang, daripada siapa jang menandatangani Linggardjati termasoek 17 fatsal itoe, dengan pendjelasan dan keterangan kementerian Seberang laoet.</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djoega soal pertama telah didjelaskan oleh perboeatan2 oemoem dari rentjana persetoedjoean dalam Tweede Kamer, bagaimana pandangan pemerintah Belanda persetoedjoean ini, dan jang mengenai seloeroeh doenia telah ditetapkan, dimana Negeri Belanda dalam menandatangani rentjana itoe, merasa terikat.</w:t>
      </w:r>
    </w:p>
    <w:p w:rsidR="00000000" w:rsidDel="00000000" w:rsidP="00000000" w:rsidRDefault="00000000" w:rsidRPr="00000000" w14:paraId="0000000A">
      <w:pPr>
        <w:spacing w:after="200" w:line="259"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Akibat jang logis</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BAHWA komisi dj. telah minta soepaja pendjelasan dan keterangan2 dimasoekkan dalam penandatangan definitief, adalah akibat jg. logisch dari boekti, bahwa dewan perwakilan rakjat Belanda dengan menerima mosi Romme Van der Goes van Naters telah menetapkan pandangan mereka pada dasar dan djiwa rentjana persetoedjoean tsb. Dengan mosi ini, demikian djoeroebitjara itoe, arti 17 pasal itoe tidak dipengaroehi, djoega tidak pernah diadakan peratoeran2 jang beloem disetoedjoei kedoea delegasi itoe. Pendjelasan dan keterangan kementerian Seberang Laoet ialah berdasar seperti diterimanja notulen pembitjaraan2 oleh kedoea pihak, ketjoeali satoe patsal ialah sikap pemerintah Belanda terhadap, Nieuw-Guinea.</w:t>
      </w:r>
    </w:p>
    <w:p w:rsidR="00000000" w:rsidDel="00000000" w:rsidP="00000000" w:rsidRDefault="00000000" w:rsidRPr="00000000" w14:paraId="0000000C">
      <w:pPr>
        <w:spacing w:after="200" w:line="259"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Soeasana Isoli i….</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Belanda jang berkoeasa menjalahkan kebelatan2 pihak Indonesia, disebabkan beloem hilangnja sama sekali ketjoerigaan2 mereka tentang maksoed Belanda jang sebenarnja.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Soeasana mentjoerigai ini hanja dapat dilenjapkan, kalau isolement dapat dihindarkan, dimana ternjata dengan akibat dari kedjadian jang masih berada seperti terdjadi djoega dengan pegawai2 repoeblik dipedaleman.</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mempererat hoeboengan antara golongan Indonesia dan Belanda setjara resmi, atau tidak resmi, akan mendatangkan pengertian dan kepertjajaan beroepa kerdja bersama, seperti jang dikehendaki Linggardjati.</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Sangat menarik perhatian, bagaimana pengaroeh "soeasana Djokja" jang terpentjil itoe, djoega terhadap pembesar2 repoeblik jang berada disana, jang meskipoen selaloe berhoeboengan dengan Djakarta.</w:t>
      </w:r>
    </w:p>
    <w:p w:rsidR="00000000" w:rsidDel="00000000" w:rsidP="00000000" w:rsidRDefault="00000000" w:rsidRPr="00000000" w14:paraId="00000011">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"Hentikan menembak” perloe</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sz w:val="24"/>
          <w:szCs w:val="24"/>
          <w:rtl w:val="0"/>
        </w:rPr>
        <w:t xml:space="preserve">ERHOEBOENG dengan ini, djoeroebitjara2 kita sangat gembira dengan keterangan Sjahrir jang telah diberikan, bahwa perinah oentoek "hentikan tembakan" didoega akan didjalankan selekas moengkin. Disini terletak, demikian pendapat djoeroebitjara itoe djalan oentoek mendatangkan seoasana jang akan menpengaroehi mentaliteit, dimana tjita2 dan perboeatan2 mereka masing2 ditetapkan.</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djalannja kedjadian2 jang akan datang beloem dapat ditentoekan. Djika berita resmi tentang sikap repoeblik telah diterima oleh komisi djendral jang hingga sekarang beloem terdjadi pemerintah Belanda akan diberitahoekan dan haroes ditoenggoe pendapatnja tentang ini.</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Terlambatnja semoea ini telah disesali oemoem, jang oleh djalannja kedjadian2 dibawa dalam kesoekaran soal itoe.</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berpendapat bahwa moengkin sekali sbg. akibat djalan kedjadian2 ini, kemadjoean organisasi dan ekonomi daerah2 Malino, termasoek Indonesia Timoer, akan melebihi sitoeasi di Djawa dan Soematera.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jang bertanggoeng djawab didaerah2 tsb. dengan tjita2nja oentoek memperbaiki keamanan dan keadaan penghidoepan akan memperhatikan sepenoeh2nja terhadap pertanjaan, bagaimana kepentingan2 ekonomi-sosial didaerah mereka dioesahakan setjepat moengkin, dan menoenggoe waktoe, dimana rentiana structuur federasi dalam lapangan politik haroes dilakoekannja.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