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Bangoen kembali</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MENDERITA KEROESAKAN HEBAT.</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 Siantar, 13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penjelesaian insiden di Bagan Siapi-Api boelan 10 tahoen jl. pendoedoek Bagan Siapi-Api siboek melakoekan kembali pembangoenan. Keadaan soedah kembali seperti biasa, sedang perhoeboengan antara pendoedoek Indonesia dan Tionghoa baik.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Soetardjo oetoesan Pemerintah Poesat Soematera jang baroe tiba dari penindjauannja dikota tsb. mengatakan bahwa dengan berangsoer2 dimasoekkan kembali kekota tsb. para pegawai Pemerintah, polisi dan para pengoengsi kepada kedoedoekan atau tempatnja masing2. Kini Bagan Siapi-Api meroepakan kembali kota jang penting bagi perdagangan teroetama barang2 hasil perikanan. Perhoeboengan dagang ialah teroetama dengan Singapoera, Malaya oemoemnja, Rangoon dan Saigon dengan mempergoenakan kapal2 mesin dan tongkang.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