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72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K. N. I. Pleno tidak membitjarakan naskah</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14 Pebr.:</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SEBAGAIMANA telah dikabarkan, sidang K.N.I. Poesat di Malang akan diadakan pada tg. 25 boelan ini. Selandjoetaja didapat kabar, bahwa sidang K.N.I. Poesat itoe tidak akan membitjarakan soal diterima atau tidaknja naskah, tetapi hanja oestoek membitjarakan soal sikap (beleid) pemerintah terhadap naskah.</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Moengkin djoega dalam sidang itoe akan dikemoekakan pendjelasan Pemerintah tentang naskah terseboet.</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pada itoe dari Djokja didapat kabar, bahwa dalam K N.I. Pleno j.a.d. itoe akan dibitjarakan "peratoeran Presiden No. 6" tentang penambahan anggota K. N.I. Poesat. Djadi jang akan bersidang itoe ialah K.N.I. Poesat lama.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Sedang K.N.I. Poesat jang soedah diperloeas itoelah jang akan membitjarakan soal naskah.</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Tindakan pemerintah ini boleh djadi satoe imbangan tjara jang dipakai oleh Belanda, dimana sebeloem naskah Linggardjati ditanda tangani, Linggardjati telah dibitjarakan dalam Tweede Kamer, dimana pemerintah Belanda mengeloearkan pendjelasan jang dioetjapkan oleh menteri seberang laoet Jonkman. Dapat kita njatakan, bahwa pendjelasan pemerintah kita dalam K.N.I. Poesat itoe sangat penting sekali oentoek diketahoei bagai-mana tafsiran pemerintah kita terhadap Linggardjati.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