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72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„Berita Bogor"</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PENGGANTI "BERITA RESMI BELANDA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Bogor, 13/2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BERITA Resmi jang dikeloearkan pihak Belanda di Bogor dalam noomr kedoea tanggal 12 Pebroeari soedah berganti nama, jaitoe dengan nama "Berita Bogor. Dalam penerbitan itoe diterangkan berbagai kesoelitan jang dihadapinja, teroetama karena anggota redaksi "Gelora Rakjat" tetap tidak maoe masoek.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