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صِلَة — وثيقة استراتيجية :root { --primary:#1E3A8A; --accent:#0891B2; --warning:#D97706; --success:#047857; --danger:#B91C1C; --purple:#7C3AED; --muted:#6B7280; --light:#F3F4F6; --ink:#0F172A; --panel-blue:#EFF6FF; --panel-green:#ECFDF5; --panel-amber:#FEF3C7; --panel-red:#FEE2E2; --panel-purple:#F3E8FF; } * { box-sizing: border-box; margin: 0; padding: 0; } @page { size: A4 portrait; margin: 18mm 16mm 22mm 16mm; } @page :first { margin: 0; } html { font-family: 'Tajawal','Amiri','Segoe UI',sans-serif; color: var(--ink); } body { line-height: 1.75; font-size: 11.5pt; } body, p, h1, h2, h3, h4, ul, ol, table, div { direction: rtl; text-align: right; } h1 { font-family: 'Reem Kufi'; font-size: 28pt; font-weight: 700; color: var(--primary); margin: 18pt 0 8pt; line-height: 1.3; } h2 { font-family: 'Reem Kufi'; font-size: 19pt; font-weight: 700; color: var(--primary); margin: 22pt 0 10pt; padding-bottom: 6pt; border-bottom: 2px solid var(--primary); } h3 { font-family: 'Tajawal'; font-size: 14pt; font-weight: 700; color: var(--accent); margin: 16pt 0 6pt; } h4 { font-family: 'Tajawal'; font-size: 12pt; font-weight: 700; color: var(--ink); margin: 10pt 0 4pt; } p { margin: 6pt 0; line-height: 1.85; } ul, ol { margin: 6pt 0; padding-right: 22pt; } li { margin: 4pt 0; line-height: 1.8; } strong { font-weight: 700; color: var(--ink); } em { font-style: normal; color: var(--accent); font-weight: 500; } /* COVER */ .cover { width: 210mm; height: 297mm; background: linear-gradient(160deg, #1E3A8A 0%, #0891B2 50%, #047857 100%); color: white; padding: 30mm 25mm; display: flex; flex-direction: column; justify-content: space-between; page-break-after: always; position: relative; overflow: hidden; } .cover::before { content: ''; position: absolute; inset: 0; background-image: radial-gradient(circle at 80% 20%, rgba(255,255,255,0.12) 0%, transparent 40%), radial-gradient(circle at 20% 80%, rgba(255,255,255,0.08) 0%, transparent 40%); pointer-events: none; } .cover .top, .cover .center, .cover .bottom { z-index: 2; } .cover .top .ribbon { font-family: 'Reem Kufi'; font-size: 12pt; opacity: 0.85; letter-spacing: 1.5px; text-transform: uppercase; } .cover .center { text-align: center; } .cover .center .badge { display: inline-block; padding: 8pt 18pt; background: rgba(255,255,255,0.18); border: 1px solid rgba(255,255,255,0.35); border-radius: 30pt; font-size: 11pt; font-weight: 500; margin-bottom: 24pt; } .cover .center .title-ar { font-family: 'Reem Kufi'; font-size: 110pt; font-weight: 700; line-height: 1; letter-spacing: -2px; margin-bottom: 12pt; text-shadow: 0 4px 20px rgba(0,0,0,0.25); } .cover .center .subtitle-main { font-family: 'Tajawal'; font-size: 15pt; font-weight: 500; line-height: 1.6; max-width: 85%; margin: 0 auto 8pt; } .cover .center .meaning { font-family: 'Tajawal'; font-size: 11pt; font-weight: 300; opacity: 0.85; font-style: italic; margin-top: 14pt; } .cover .bottom { border-top: 1px solid rgba(255,255,255,0.3); padding-top: 14pt; } .cover .bottom .lbl { font-size: 10pt; font-weight: 700; opacity: 0.85; letter-spacing: 1.2px; margin-bottom: 6pt; } .cover .bottom .names { font-size: 11.5pt; line-height: 1.9; } .cover .bottom .meta { font-size: 9pt; opacity: 0.75; margin-top: 12pt; letter-spacing: 1px; } /* About-page */ .about-page { padding: 18mm 0; page-break-after: always; } .about-page h2 { color: var(--primary); border-bottom: 2pt solid var(--primary); } /* Section header */ .section-header { background: linear-gradient(95deg, var(--primary), var(--accent)); color: white; padding: 12pt 18pt; border-radius: 8pt; margin: 20pt 0 18pt; page-break-after: avoid; } .section-header.amber { background: linear-gradient(95deg, #D97706, #F59E0B); } .section-header.purple { background: linear-gradient(95deg, #7C3AED, #A855F7); } .section-header.green { background: linear-gradient(95deg, #047857, #10B981); } .section-header.muted { background: linear-gradient(95deg, #4B5563, #6B7280); } .section-header .num { font-size: 10pt; opacity: 0.85; letter-spacing: 2px; } .section-header .title { font-family: 'Reem Kufi'; font-size: 22pt; font-weight: 700; margin-top: 4pt; } /* Panels */ .panel { border-radius: 8pt; padding: 14pt 18pt; margin: 12pt 0; border-right: 4pt solid var(--primary); page-break-inside: avoid; } .panel.blue { background: var(--panel-blue); border-color: var(--primary); } .panel.green { background: var(--panel-green); border-color: var(--success); } .panel.amber { background: var(--panel-amber); border-color: var(--warning); } .panel.red { background: var(--panel-red); border-color: var(--danger); } .panel.purple { background: var(--panel-purple); border-color: var(--purple); } .panel.muted { background: var(--light); border-color: var(--muted); } .panel-label { font-size: 9.5pt; font-weight: 700; letter-spacing: 1.5px; text-transform: uppercase; margin-bottom: 6pt; color: var(--primary); } .panel.green .panel-label { color: var(--success); } .panel.amber .panel-label { color: var(--warning); } .panel.red .panel-label { color: var(--danger); } .panel.purple .panel-label { color: var(--purple); } .panel.muted .panel-label { color: var(--muted); } /* Tables */ table { width: 100%; border-collapse: collapse; margin: 12pt 0; font-size: 10.5pt; page-break-inside: avoid; } th { background: var(--primary); color: white; padding: 8pt 10pt; font-weight: 700; font-size: 10pt; text-align: right; border: 1px solid rgba(255,255,255,0.2); } th.amber { background: var(--warning); } th.purple { background: var(--purple); } th.green { background: var(--success); } th.danger { background: var(--danger); } th.muted { background: var(--muted); } td { padding: 7pt 10pt; border: 1px solid #E5E7EB; vertical-align: top; line-height: 1.7; } tr:nth-child(even) td { background: #FAFAFA; } .table-3box th { padding: 12pt; font-size: 11pt; } .table-3box th.peace { background: var(--success); } .table-3box th.actors { background: var(--warning); } .table-3box th.conflict { background: var(--danger); } .table-3box td { vertical-align: top; } .table-3box td.peace { background: var(--panel-green); } .table-3box td.actors { background: var(--panel-amber); } .table-3box td.conflict { background: var(--panel-red); } .table-3box td ul { padding-right: 16pt; } .table-3box td li { font-size: 10pt; line-height: 1.7; } /* Matrix RPP */ .matrix-rpp { display: grid; grid-template-columns: 22% 39% 39%; gap: 4pt; margin: 14pt 0; page-break-inside: avoid; } .matrix-rpp .head { background: linear-gradient(135deg, #4338CA, #7C3AED); color: white; padding: 10pt; text-align: center; font-weight: 700; border-radius: 6pt; font-size: 10.5pt; line-height: 1.4; } .matrix-rpp .head.row { background: linear-gradient(135deg, #4338CA, #2563EB); display: flex; align-items: center; justify-content: center; } .matrix-rpp .head.col-key { background: linear-gradient(135deg, #7C3AED, #A855F7); } .matrix-rpp .head.col-more { background: linear-gradient(135deg, #0891B2, #06B6D4); } .matrix-rpp .empty { background: #1E1B4B; border-radius: 6pt; } .matrix-rpp .cell { background: white; border: 2pt solid; border-radius: 6pt; padding: 10pt; } .matrix-rpp .cell.q-ki { border-color: var(--purple); background: var(--panel-purple); } .matrix-rpp .cell.q-mi { border-color: var(--accent); background: var(--panel-blue); } .matrix-rpp .cell.q-ks { border-color: #A855F7; background: #FAE8FF; } .matrix-rpp .cell.q-ms { border-color: var(--success); background: var(--panel-green); } .matrix-rpp .cell .quad-label { font-size: 9pt; font-weight: 700; line-height: 1.4; margin-bottom: 6pt; padding-bottom: 4pt; border-bottom: 1pt dashed currentColor; } .matrix-rpp .cell.q-ki .quad-label { color: var(--purple); } .matrix-rpp .cell.q-mi .quad-label { color: var(--accent); } .matrix-rpp .cell.q-ks .quad-label { color: #A855F7; } .matrix-rpp .cell.q-ms .quad-label { color: var(--success); } .matrix-rpp .activity { background: white; border-radius: 4pt; padding: 6pt 8pt; margin: 4pt 0; font-size: 9pt; line-height: 1.6; border: 1px solid #E5E7EB; } .matrix-rpp .activity .id { display: inline-block; background: var(--ink); color: white; padding: 1pt 5pt; border-radius: 3pt; font-family: monospace; font-size: 8pt; margin-left: 4pt; vertical-align: middle; } .matrix-rpp .activity .phase { display: inline-block; color: var(--muted); font-size: 8pt; font-style: italic; } /* Curle diagram */ .curle-diagram { margin: 14pt 0; padding: 14pt; background: linear-gradient(135deg, #FFF7ED, #FEF3C7); border-radius: 10pt; page-break-inside: avoid; } .curle-axes { display: flex; justify-content: space-between; font-size: 9pt; font-weight: 700; color: var(--muted); text-transform: uppercase; letter-spacing: 1px; margin-bottom: 8pt; } .curle-phases { display: grid; grid-template-columns: repeat(4, 1fr); gap: 6pt; } .curle-phase { border: 2pt solid; border-radius: 8pt; padding: 10pt; background: white; } .curle-phase .num { display: inline-flex; width: 22pt; height: 22pt; color: white; border-radius: 50%; align-items: center; justify-content: center; font-weight: 700; margin-bottom: 6pt; } .curle-phase h4 { margin-top: 4pt; font-size: 11pt; } .curle-phase p { font-size: 9pt; line-height: 1.6; } .curle-phase.p1 { border-color: var(--danger); } .curle-phase.p1 .num { background: var(--danger); } .curle-phase.p2 { border-color: var(--warning); } .curle-phase.p2 .num { background: var(--warning); } .curle-phase.p3 { border-color: #EAB308; } .curle-phase.p3 .num { background: #EAB308; } .curle-phase.p4 { border-color: var(--success); } .curle-phase.p4 .num { background: var(--success); } /* ToC blocks */ .toc-block { border: 2pt solid; border-radius: 10pt; padding: 14pt 18pt; margin: 10pt 0; page-break-inside: avoid; } .toc-block.if { border-color: var(--primary); background: var(--panel-blue); } .toc-block.then { border-color: var(--success); background: var(--panel-green); } .toc-block.because { border-color: var(--warning); background: var(--panel-amber); } .toc-block.risk { border-color: var(--danger); background: var(--panel-red); } .toc-block .lbl { font-size: 9.5pt; font-weight: 700; letter-spacing: 1.5px; margin-bottom: 4pt; text-transform: uppercase; } .toc-block.if .lbl { color: var(--primary); } .toc-block.then .lbl { color: var(--success); } .toc-block.because .lbl { color: var(--warning); } .toc-block.risk .lbl { color: var(--danger); } .micro-toc { border: 1pt solid #E5E7EB; border-radius: 10pt; padding: 14pt; margin: 14pt 0; background: white; page-break-inside: avoid; } .micro-toc .header { display: flex; justify-content: space-between; align-items: center; padding-bottom: 8pt; border-bottom: 1px solid #E5E7EB; margin-bottom: 10pt; } .micro-toc .id { font-family: monospace; font-size: 11pt; font-weight: 700; color: var(--success); } .conf-badge { display: inline-block; padding: 3pt 10pt; border-radius: 12pt; font-size: 8.5pt; font-weight: 700; letter-spacing: 1px; text-transform: uppercase; } .conf-high { background: var(--panel-green); color: var(--success); } .conf-medium { background: var(--panel-amber); color: var(--warning); } .conf-low { background: var(--panel-red); color: var(--danger); } /* Arrows */ .arrows-grid { display: grid; grid-template-columns: repeat(3, 1fr); gap: 6pt; } .arrow { background: var(--panel-purple); border: 1pt solid var(--purple); border-radius: 6pt; padding: 6pt 10pt; font-size: 9.5pt; text-align: center; direction: ltr; } .arrow .from, .arrow .to { display: inline-block; background: var(--purple); color: white; padding: 1pt 6pt; border-radius: 3pt; font-family: monospace; font-weight: 700; } .arrow .lbl { display: inline-block; margin: 0 6pt; color: var(--purple); font-weight: 700; } /* KDF list */ .kdf-list { counter-reset: kdf; padding-right: 0; list-style: none; } .kdf-list li { counter-increment: kdf; list-style: none; position: relative; padding-right: 32pt; margin: 8pt 0; line-height: 1.7; } .kdf-list li::before { content: counter(kdf); position: absolute; right: 0; top: 0; width: 22pt; height: 22pt; background: var(--primary); color: white; border-radius: 50%; display: flex; align-items: center; justify-content: center; font-weight: 700; font-size: 10pt; } /* Sources */ .sources { counter-reset: src; padding-right: 0; list-style: none; } .sources li { counter-increment: src; list-style: none; margin: 6pt 0; padding: 6pt 32pt 6pt 8pt; position: relative; font-size: 10pt; line-height: 1.6; } .sources li::before { content: counter(src); position: absolute; right: 0; top: 6pt; width: 22pt; height: 22pt; background: var(--muted); color: white; border-radius: 50%; display: flex; align-items: center; justify-content: center; font-weight: 700; font-size: 9pt; } .page-break { page-break-after: always; } .no-break { page-break-inside: avoid; } .highlight { background: linear-gradient(transparent 60%, #FEF08A 60%); padding: 0 2pt; } .conclusion { background: linear-gradient(135deg, var(--panel-blue), white); border: 2pt solid var(--primary); border-radius: 10pt; padding: 18pt 22pt; margin: 14pt 0; } .conclusion h3 { color: var(--primary); margin-top: 8pt; } .toc-summary { background: var(--light); padding: 18pt 22pt; border-radius: 10pt; margin: 14pt 0; } .toc-summary h2 { border: none; margin-top: 0; padding-bottom: 4pt; font-size: 17pt; } .toc-summary ol { padding-right: 20pt; } .toc-summary li { margin: 4pt 0; font-size: 11pt; } .toc-summary .num { color: var(--primary); font-weight: 700; margin-left: 6pt; } .footer-mark { margin-top: 30pt; text-align: center; padding: 18pt; border-top: 2pt solid var(--primary); color: var(--muted); font-size: 9.5pt; } وثيقة استراتيجية مشروع مُجتَمَعي للسلام والمصالحة صِلَة فضاء مَدَني مُستَقِل للسلام والمصالحة والبناء المُشترَك</w:t>
        <w:br/>
        <w:t xml:space="preserve"> بين المغاربة والصحراويين العائدين من تندوف صِلَة الرَّحم — الرابط الذي يَجمع الأهل بعد الفُرقة فريق التحليل والإعداد محمد بوساد · بثينة بنحميدة · كنزة صمود · سليمان الميموني الميسر نبيل بحار ماي 2026 — وفق منهجية: الصناديق الثلاثة · مخطط كيرل · مصفوفة RPP · نظرية التغيير Available in: العربية · Français · English · Español حول هذه الوثيقة</w:t>
      </w:r>
    </w:p>
    <w:p>
      <w:pPr>
        <w:pStyle w:val="Heading2"/>
      </w:pPr>
    </w:p>
    <w:p>
      <w:r>
        <w:t xml:space="preserve">تَأتي هذه الوثيقة كَمُخرَج ختامي لمسار طويل من العمل التحليلي والميداني الذي قادَته منذ سنة 2018 </w:t>
      </w:r>
      <w:r>
        <w:rPr>
          <w:b/>
        </w:rPr>
        <w:t>منظمة سويفور السويدية</w:t>
      </w:r>
      <w:r>
        <w:t xml:space="preserve"> (Swedish Fellowship of Reconciliation — SweFOR)، وهي منظمة سويدية متخصصة في بناء السلام وحل النزاعات، رافَقت عبر السنوات مجموعات شبابية مغاربية متعاقبة (من المغرب، الجزائر، تونس، الصحراء، وموريتانيا).</w:t>
      </w:r>
    </w:p>
    <w:p>
      <w:r>
        <w:t xml:space="preserve">أُنجزَت هذه الوثيقة من قِبَل المجموعة المغربية الراهنة في إطار ورشاتها الختامية. وقد تَزامَن عملها مع </w:t>
      </w:r>
      <w:r>
        <w:rPr>
          <w:b/>
        </w:rPr>
        <w:t>المنعطف الديبلوماسي الذي عَرَفه ملف الصحراء سنة 2025</w:t>
      </w:r>
      <w:r>
        <w:t xml:space="preserve"> (قرار مجلس الأمن 2797، التحاق نحو 120 دولة بدعم مخطط الحكم الذاتي، التحوّل في موقف الجزائر). هذا التزامُن جَعَل من الممكن — للمرة الأولى — أن نَنتقِل من التحليل النظري إلى </w:t>
      </w:r>
      <w:r>
        <w:rPr>
          <w:b/>
        </w:rPr>
        <w:t>اقتراح مشروع قابل للتنزيل الميداني</w:t>
      </w:r>
      <w:r>
        <w:t>، يَستجيب للحظة الراهنة ويُحَضّرها معاً.</w:t>
      </w:r>
    </w:p>
    <w:p>
      <w:r>
        <w:t>لماذا الآن؟</w:t>
        <w:t xml:space="preserve"> </w:t>
        <w:t xml:space="preserve">نَنطَلق من قناعة أنّ </w:t>
        <w:t>المرحلة المقبلة من ملف الصحراء لن تَكون سياسية بل مجتمعية</w:t>
        <w:t xml:space="preserve">. حين يُوقَّع الاتفاق السياسي، تَكون السياسة قد انتهت — لكن العمل الإنساني الحقيقي يَكون قد بَدَأ للتو. هذه الوثيقة هي دعوة لِبَدء هذا العمل </w:t>
      </w:r>
      <w:r>
        <w:rPr>
          <w:b/>
        </w:rPr>
        <w:t>قبل التوقيع</w:t>
      </w:r>
      <w:r>
        <w:t>، لا بَعدَه. تَحضير الأرضية الاجتماعية والإنسانية في الوقت الذي ما زالت فيه النوافذ مَفتوحة.</w:t>
      </w:r>
    </w:p>
    <w:p>
      <w:pPr>
        <w:pStyle w:val="Heading3"/>
      </w:pPr>
      <w:r>
        <w:t>منهجية العمل</w:t>
      </w:r>
    </w:p>
    <w:p>
      <w:r>
        <w:t>اعتَمَدت المجموعة منهجية «</w:t>
      </w:r>
      <w:r>
        <w:rPr>
          <w:b/>
        </w:rPr>
        <w:t>من النظرية إلى الممارسة</w:t>
      </w:r>
      <w:r>
        <w:t>» التي تُدرّسها شبكة سويفور، والمستندة على أعمال «التفكير في ممارسة السلام» (RPP) و«مشروع تخطيط بناء السلام» (SNAP) لمعهد الولايات المتحدة للسلام (USIP). تَتضمّن هذه المنهجية أربع أدوات متكاملة طُبِّقت في هذه الوثيقة بشكل تَتابُعي وعميق:</w:t>
      </w:r>
    </w:p>
    <w:p>
      <w:pPr>
        <w:pStyle w:val="ListNumber"/>
      </w:pPr>
      <w:r>
        <w:t>الصناديق الثلاثة لتحليل النزاع</w:t>
      </w:r>
    </w:p>
    <w:p>
      <w:pPr>
        <w:pStyle w:val="ListNumber"/>
      </w:pPr>
      <w:r>
        <w:t>مخطط كيرل لتحديد المرحلة</w:t>
      </w:r>
    </w:p>
    <w:p>
      <w:pPr>
        <w:pStyle w:val="ListNumber"/>
      </w:pPr>
      <w:r>
        <w:t>مصفوفة RPP لِتَموقع الاستراتيجية</w:t>
      </w:r>
    </w:p>
    <w:p>
      <w:pPr>
        <w:pStyle w:val="ListNumber"/>
      </w:pPr>
      <w:r>
        <w:t>نظرية التغيير لاختبار الفرضيات السببية</w:t>
      </w:r>
    </w:p>
    <w:p>
      <w:pPr>
        <w:pStyle w:val="Heading3"/>
      </w:pPr>
      <w:r>
        <w:t>كيف تَقرأ هذه الوثيقة</w:t>
      </w:r>
    </w:p>
    <w:p>
      <w:r>
        <w:t>الوثيقة مُهَيكَلة في ثمانية أقسام مُتسلسلة. كل قسم يَتَأسس على ما سَبَقه. للقارئ المُستَعجِل، نَنصَح بالبَدء بالقسم 1 (السياق) ثم القفز مباشرة إلى القسم 7 (الخلاصة والتوصيات). للقارئ المُتَعمِّق، الترتيب الكامل مُوصى به.</w:t>
      </w:r>
    </w:p>
    <w:p>
      <w:pPr>
        <w:pStyle w:val="Heading2"/>
      </w:pPr>
      <w:r>
        <w:t>الفهرس</w:t>
      </w:r>
    </w:p>
    <w:p>
      <w:pPr>
        <w:pStyle w:val="ListNumber"/>
      </w:pPr>
      <w:r>
        <w:t>1. سياق المشكلة — اللمحة التاريخية وآخر التطورات</w:t>
      </w:r>
    </w:p>
    <w:p>
      <w:pPr>
        <w:pStyle w:val="ListNumber"/>
      </w:pPr>
      <w:r>
        <w:t>2. المنهجية المُعتَمَدة</w:t>
      </w:r>
    </w:p>
    <w:p>
      <w:pPr>
        <w:pStyle w:val="ListNumber"/>
      </w:pPr>
      <w:r>
        <w:t>3. المرحلة 1 — تحليل الصناديق الثلاثة</w:t>
      </w:r>
    </w:p>
    <w:p>
      <w:pPr>
        <w:pStyle w:val="ListNumber"/>
      </w:pPr>
      <w:r>
        <w:t>4. المرحلة 2 — مخطط كيرل</w:t>
      </w:r>
    </w:p>
    <w:p>
      <w:pPr>
        <w:pStyle w:val="ListNumber"/>
      </w:pPr>
      <w:r>
        <w:t>5. المرحلة 3 — مصفوفة RPP</w:t>
      </w:r>
    </w:p>
    <w:p>
      <w:pPr>
        <w:pStyle w:val="ListNumber"/>
      </w:pPr>
      <w:r>
        <w:t>6. المرحلة 4 — نظرية التغيير</w:t>
      </w:r>
    </w:p>
    <w:p>
      <w:pPr>
        <w:pStyle w:val="ListNumber"/>
      </w:pPr>
      <w:r>
        <w:t>7. الخلاصة والتوصيات</w:t>
      </w:r>
    </w:p>
    <w:p>
      <w:pPr>
        <w:pStyle w:val="ListNumber"/>
      </w:pPr>
      <w:r>
        <w:t>8. المصادر</w:t>
      </w:r>
    </w:p>
    <w:p>
      <w:r>
        <w:t>القسم 1 سياق المشكلة قبل أي تحليل، من الضروري أن يَستوعب القارئ الإطار التاريخي والديبلوماسي لقضية الصحراء، حتى يَفهم لماذا تَفرض اللحظة الحالية على المجتمع المدني المغربي أن يَتدخّل بمشروع مصالحة وبناء مشترك.</w:t>
      </w:r>
    </w:p>
    <w:p>
      <w:pPr>
        <w:pStyle w:val="Heading2"/>
      </w:pPr>
      <w:r>
        <w:t>1.1 — اللمحة التاريخية</w:t>
      </w:r>
    </w:p>
    <w:p>
      <w:pPr>
        <w:pStyle w:val="Heading3"/>
      </w:pPr>
      <w:r>
        <w:t>قبل 1975 — المرحلة الاستعمارية الإسبانية</w:t>
      </w:r>
    </w:p>
    <w:p>
      <w:r>
        <w:t>الإقليم مستعمرة إسبانية تحت اسم «الصحراء الإسبانية» منذ 1884. السكان الصحراويون في معظمهم قبائل بدوية رحّل مُرتبطة بأطر القرابة العابرة للحدود (الرڭيبات، تكنة، أولاد دليم)، وهي روابط لا تَزال قائمة إلى اليوم وتُشكّل الأساس الاجتماعي لكل مشروع مصالحة.</w:t>
      </w:r>
    </w:p>
    <w:p>
      <w:pPr>
        <w:pStyle w:val="Heading3"/>
      </w:pPr>
      <w:r>
        <w:t>1975 — السنة المفصلية</w:t>
      </w:r>
    </w:p>
    <w:p>
      <w:pPr>
        <w:pStyle w:val="ListBullet"/>
      </w:pPr>
      <w:r>
        <w:rPr>
          <w:b/>
        </w:rPr>
        <w:t>أكتوبر 1975:</w:t>
      </w:r>
      <w:r>
        <w:t xml:space="preserve"> محكمة العدل الدولية تَصدر رأيها الاستشاري. تَعترف بوجود روابط بيعة بين بعض القبائل الصحراوية وسلاطين المغرب، لكنها تَخلص إلى أن هذه الروابط لا تُثبت رابطة سيادة إقليمية تُلغي حق الشعب الصحراوي في تقرير المصير.</w:t>
      </w:r>
    </w:p>
    <w:p>
      <w:pPr>
        <w:pStyle w:val="ListBullet"/>
      </w:pPr>
      <w:r>
        <w:rPr>
          <w:b/>
        </w:rPr>
        <w:t>6 نوفمبر 1975:</w:t>
      </w:r>
      <w:r>
        <w:t xml:space="preserve"> الحسن الثاني يُطلق المسيرة الخضراء — 350 ألف مدني مغربي يَدخلون الإقليم سلمياً.</w:t>
      </w:r>
    </w:p>
    <w:p>
      <w:pPr>
        <w:pStyle w:val="ListBullet"/>
      </w:pPr>
      <w:r>
        <w:rPr>
          <w:b/>
        </w:rPr>
        <w:t>14 نوفمبر 1975:</w:t>
      </w:r>
      <w:r>
        <w:t xml:space="preserve"> اتفاقيات مدريد الثلاثية — إسبانيا تَتنازل عن إدارة الإقليم للمغرب (الثلثان الشماليان) وموريتانيا (الثلث الجنوبي).</w:t>
      </w:r>
    </w:p>
    <w:p>
      <w:pPr>
        <w:pStyle w:val="ListBullet"/>
      </w:pPr>
      <w:r>
        <w:rPr>
          <w:b/>
        </w:rPr>
        <w:t>27 فبراير 1976:</w:t>
      </w:r>
      <w:r>
        <w:t xml:space="preserve"> اليوم التالي لانسحاب آخر جندي إسباني، البوليساريو يُعلن «الجمهورية العربية الصحراوية الديمقراطية» في بير لحلو. الحرب تَشتعل مباشرة، وعشرات الآلاف من الصحراويين يَنتقلون نحو منطقة تندوف بالجزائر.</w:t>
      </w:r>
    </w:p>
    <w:p>
      <w:pPr>
        <w:pStyle w:val="Heading3"/>
      </w:pPr>
      <w:r>
        <w:t>1976 - 1991 — مرحلة الحرب</w:t>
      </w:r>
    </w:p>
    <w:p>
      <w:r>
        <w:t>حرب غير متكافئة بين الجيش المغربي والبوليساريو، المدعوم عسكرياً ومالياً من الجزائر وليبيا القذافي. موريتانيا تَنسحب من النزاع سنة 1979، فيَحتل المغرب الجزء الجنوبي. خلال الثمانينات، يَبني المغرب جداراً دفاعياً طوله 2700 كلم، يَفصل اليوم بين المناطق تحت سيطرة المغرب (~80%) والمناطق تحت سيطرة البوليساريو (~20%).</w:t>
      </w:r>
    </w:p>
    <w:p>
      <w:pPr>
        <w:pStyle w:val="Heading3"/>
      </w:pPr>
      <w:r>
        <w:t>1991 — وقف إطلاق النار وبعثة المينورسو</w:t>
      </w:r>
    </w:p>
    <w:p>
      <w:r>
        <w:t xml:space="preserve">الأمم المتحدة تَحصل على وقف إطلاق النار وتُنشئ «المينورسو». المهمة المُعلَنة: تنظيم استفتاء تقرير المصير. </w:t>
      </w:r>
      <w:r>
        <w:rPr>
          <w:b/>
        </w:rPr>
        <w:t>لم يُنظَّم هذا الاستفتاء أبداً</w:t>
      </w:r>
      <w:r>
        <w:t>، بسبب خلاف مستعصٍ حول قائمة الناخبين.</w:t>
      </w:r>
    </w:p>
    <w:p>
      <w:pPr>
        <w:pStyle w:val="Heading3"/>
      </w:pPr>
      <w:r>
        <w:t>2007 — مخطط الحكم الذاتي المغربي</w:t>
      </w:r>
    </w:p>
    <w:p>
      <w:r>
        <w:t>المغرب يُقدّم مخطط الحكم الذاتي: الإقليم يُصبح جهة ذات حكم ذاتي ببرلمان وحكومة وإدارة محلية، تحت السيادة المغربية.</w:t>
      </w:r>
    </w:p>
    <w:p>
      <w:pPr>
        <w:pStyle w:val="Heading3"/>
      </w:pPr>
      <w:r>
        <w:t>2020 — اعتراف الولايات المتحدة</w:t>
      </w:r>
    </w:p>
    <w:p>
      <w:r>
        <w:t>الولايات المتحدة الأمريكية تَعترف بالسيادة المغربية على الصحراء — وهي أوّل عُضْوٍ دائم في مجلس الأمن يَفعل ذلك. هذا الاعتراف شَكّل منعطفاً ديبلوماسياً كبيراً مَهَّد لما سيَأتي بعده على المستوى الدولي.</w:t>
      </w:r>
    </w:p>
    <w:p>
      <w:pPr>
        <w:pStyle w:val="Heading2"/>
      </w:pPr>
      <w:r>
        <w:t>1.2 — آخر التطورات (2022 - 2026)</w:t>
      </w:r>
    </w:p>
    <w:p>
      <w:r>
        <w:t>الديناميكية الديبلوماسية مالت بشكل واضح لصالح المغرب منذ 2022، مع تسارع كبير بعد قرار مجلس الأمن 2797.</w:t>
      </w:r>
    </w:p>
    <w:tbl>
      <w:tblPr>
        <w:tblW w:type="auto" w:w="0"/>
        <w:tblLook w:firstColumn="1" w:firstRow="1" w:lastColumn="0" w:lastRow="0" w:noHBand="0" w:noVBand="1" w:val="04A0"/>
      </w:tblPr>
      <w:tblGrid>
        <w:gridCol w:w="4320"/>
        <w:gridCol w:w="4320"/>
      </w:tblGrid>
      <w:tr>
        <w:tc>
          <w:tcPr>
            <w:tcW w:type="dxa" w:w="0"/>
          </w:tcPr>
          <w:p>
            <w:r>
              <w:t>التاريخ</w:t>
            </w:r>
          </w:p>
        </w:tc>
        <w:tc>
          <w:tcPr>
            <w:tcW w:type="dxa" w:w="0"/>
          </w:tcPr>
          <w:p>
            <w:r>
              <w:t>الحدث</w:t>
            </w:r>
          </w:p>
        </w:tc>
      </w:tr>
      <w:tr>
        <w:tc>
          <w:tcPr>
            <w:tcW w:type="dxa" w:w="0"/>
          </w:tcPr>
          <w:p>
            <w:r>
              <w:rPr>
                <w:b/>
              </w:rPr>
              <w:t>مارس 2022</w:t>
            </w:r>
          </w:p>
        </w:tc>
        <w:tc>
          <w:tcPr>
            <w:tcW w:type="dxa" w:w="0"/>
          </w:tcPr>
          <w:p>
            <w:r>
              <w:t>إسبانيا (القوة الاستعمارية التاريخية) تَدعم رسمياً مخطط الحكم الذاتي المغربي.</w:t>
            </w:r>
          </w:p>
        </w:tc>
      </w:tr>
      <w:tr>
        <w:tc>
          <w:tcPr>
            <w:tcW w:type="dxa" w:w="0"/>
          </w:tcPr>
          <w:p>
            <w:r>
              <w:rPr>
                <w:b/>
              </w:rPr>
              <w:t>أكتوبر 2024</w:t>
            </w:r>
          </w:p>
        </w:tc>
        <w:tc>
          <w:tcPr>
            <w:tcW w:type="dxa" w:w="0"/>
          </w:tcPr>
          <w:p>
            <w:r>
              <w:t>الرئيس الفرنسي يُعلن أمام البرلمان المغربي أن «حاضر ومستقبل الصحراء يَندرجان في إطار السيادة المغربية».</w:t>
            </w:r>
          </w:p>
        </w:tc>
      </w:tr>
      <w:tr>
        <w:tc>
          <w:tcPr>
            <w:tcW w:type="dxa" w:w="0"/>
          </w:tcPr>
          <w:p>
            <w:r>
              <w:rPr>
                <w:b/>
              </w:rPr>
              <w:t>يونيو 2025</w:t>
            </w:r>
          </w:p>
        </w:tc>
        <w:tc>
          <w:tcPr>
            <w:tcW w:type="dxa" w:w="0"/>
          </w:tcPr>
          <w:p>
            <w:r>
              <w:t>المملكة المتحدة تَنضم للمعسكر المؤيد، وتَصف الحكم الذاتي بـ«الأساس الأكثر مصداقية».</w:t>
            </w:r>
          </w:p>
        </w:tc>
      </w:tr>
      <w:tr>
        <w:tc>
          <w:tcPr>
            <w:tcW w:type="dxa" w:w="0"/>
          </w:tcPr>
          <w:p>
            <w:r>
              <w:rPr>
                <w:b/>
              </w:rPr>
              <w:t>أكتوبر 2025</w:t>
            </w:r>
          </w:p>
        </w:tc>
        <w:tc>
          <w:tcPr>
            <w:tcW w:type="dxa" w:w="0"/>
          </w:tcPr>
          <w:p>
            <w:r>
              <w:t xml:space="preserve">قرار مجلس الأمن </w:t>
            </w:r>
            <w:r>
              <w:rPr>
                <w:b/>
              </w:rPr>
              <w:t>2797</w:t>
            </w:r>
            <w:r>
              <w:t>: 11 صوتاً مؤيداً، الجزائر لم تُشارك. القرار يُعيد توجيه المفاوضات صراحةً على أساس مخطط الحكم الذاتي المغربي.</w:t>
            </w:r>
          </w:p>
        </w:tc>
      </w:tr>
      <w:tr>
        <w:tc>
          <w:tcPr>
            <w:tcW w:type="dxa" w:w="0"/>
          </w:tcPr>
          <w:p>
            <w:r>
              <w:rPr>
                <w:b/>
              </w:rPr>
              <w:t>نوفمبر 2025</w:t>
            </w:r>
          </w:p>
        </w:tc>
        <w:tc>
          <w:tcPr>
            <w:tcW w:type="dxa" w:w="0"/>
          </w:tcPr>
          <w:p>
            <w:r>
              <w:t>الجزائر تَقترح بشكل مفاجئ «الوساطة» بين المغرب والبوليساريو — مؤشر على إعادة تموقع.</w:t>
            </w:r>
          </w:p>
        </w:tc>
      </w:tr>
      <w:tr>
        <w:tc>
          <w:tcPr>
            <w:tcW w:type="dxa" w:w="0"/>
          </w:tcPr>
          <w:p>
            <w:r>
              <w:rPr>
                <w:b/>
              </w:rPr>
              <w:t>فبراير 2026</w:t>
            </w:r>
          </w:p>
        </w:tc>
        <w:tc>
          <w:tcPr>
            <w:tcW w:type="dxa" w:w="0"/>
          </w:tcPr>
          <w:p>
            <w:r>
              <w:t>محادثات مدريد بين المغرب والجزائر والبوليساريو برعاية أمريكية. المغرب يُقدّم نسخة موسّعة من مخطط الحكم الذاتي (~40 صفحة).</w:t>
            </w:r>
          </w:p>
        </w:tc>
      </w:tr>
      <w:tr>
        <w:tc>
          <w:tcPr>
            <w:tcW w:type="dxa" w:w="0"/>
          </w:tcPr>
          <w:p>
            <w:r>
              <w:rPr>
                <w:b/>
              </w:rPr>
              <w:t>مارس 2026</w:t>
            </w:r>
          </w:p>
        </w:tc>
        <w:tc>
          <w:tcPr>
            <w:tcW w:type="dxa" w:w="0"/>
          </w:tcPr>
          <w:p>
            <w:r>
              <w:t>سيناتورات أمريكيون يُودعون مشروع قانون «تصنيف البوليساريو منظمة إرهابية» في الكونغرس.</w:t>
            </w:r>
          </w:p>
        </w:tc>
      </w:tr>
      <w:tr>
        <w:tc>
          <w:tcPr>
            <w:tcW w:type="dxa" w:w="0"/>
          </w:tcPr>
          <w:p>
            <w:r>
              <w:rPr>
                <w:b/>
              </w:rPr>
              <w:t>أبريل 2026</w:t>
            </w:r>
          </w:p>
        </w:tc>
        <w:tc>
          <w:tcPr>
            <w:tcW w:type="dxa" w:w="0"/>
          </w:tcPr>
          <w:p>
            <w:r>
              <w:t>مالي تُعلّق اعترافها بالجمهورية الصحراوية وتَدعم المخطط المغربي.</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الخلاصة</w:t>
        <w:t xml:space="preserve"> </w:t>
        <w:t xml:space="preserve">حوالي </w:t>
      </w:r>
      <w:r>
        <w:rPr>
          <w:b/>
        </w:rPr>
        <w:t>120 دولة</w:t>
      </w:r>
      <w:r>
        <w:t xml:space="preserve"> تَدعم المخطط المغربي. مجلس الأمن يُعيد توجيه المفاوضات على هذا الأساس. الجزائر تُلوّح بالوساطة. مالي تَسحب اعترافها. النافذة الزمنية للحل قد فُتحت — وهي تقريباً مَفتوحة الآن.</w:t>
      </w:r>
    </w:p>
    <w:p>
      <w:r>
        <w:t>القسم 2</w:t>
        <w:t xml:space="preserve"> </w:t>
        <w:t>المنهجية المُعتَمَدة</w:t>
        <w:t xml:space="preserve"> </w:t>
        <w:t>تَعتمد هذه الوثيقة منهجية «</w:t>
      </w:r>
      <w:r>
        <w:rPr>
          <w:b/>
        </w:rPr>
        <w:t>من النظرية إلى الممارسة</w:t>
      </w:r>
      <w:r>
        <w:t>» (From Theory to Practice) المستندة إلى أعمال «التفكير في ممارسة السلام» (Reflecting on Peace Practice — RPP) و«مشروع تخطيط بناء السلام» (Strategic Nonviolent Action and Peacebuilding — SNAP) لمعهد الولايات المتحدة للسلام (United States Institute of Peace — USIP).</w:t>
      </w:r>
    </w:p>
    <w:p>
      <w:r>
        <w:t>تَتألف من أربع أدوات متكاملة طُبِّقت بشكل تَتابُعي:</w:t>
      </w:r>
    </w:p>
    <w:tbl>
      <w:tblPr>
        <w:tblW w:type="auto" w:w="0"/>
        <w:tblLook w:firstColumn="1" w:firstRow="1" w:lastColumn="0" w:lastRow="0" w:noHBand="0" w:noVBand="1" w:val="04A0"/>
      </w:tblPr>
      <w:tblGrid>
        <w:gridCol w:w="2160"/>
        <w:gridCol w:w="2160"/>
        <w:gridCol w:w="2160"/>
        <w:gridCol w:w="2160"/>
      </w:tblGrid>
      <w:tr>
        <w:tc>
          <w:tcPr>
            <w:tcW w:type="dxa" w:w="0"/>
          </w:tcPr>
          <w:p>
            <w:r>
              <w:t>#</w:t>
            </w:r>
          </w:p>
        </w:tc>
        <w:tc>
          <w:tcPr>
            <w:tcW w:type="dxa" w:w="0"/>
          </w:tcPr>
          <w:p>
            <w:r>
              <w:t>الأداة</w:t>
            </w:r>
          </w:p>
        </w:tc>
        <w:tc>
          <w:tcPr>
            <w:tcW w:type="dxa" w:w="0"/>
          </w:tcPr>
          <w:p>
            <w:r>
              <w:t>الوظيفة</w:t>
            </w:r>
          </w:p>
        </w:tc>
        <w:tc>
          <w:tcPr>
            <w:tcW w:type="dxa" w:w="0"/>
          </w:tcPr>
          <w:p>
            <w:r>
              <w:t>المُخرَج المُتَوَقَّع</w:t>
            </w:r>
          </w:p>
        </w:tc>
      </w:tr>
      <w:tr>
        <w:tc>
          <w:tcPr>
            <w:tcW w:type="dxa" w:w="0"/>
          </w:tcPr>
          <w:p>
            <w:r>
              <w:rPr>
                <w:b/>
              </w:rPr>
              <w:t>1</w:t>
            </w:r>
          </w:p>
        </w:tc>
        <w:tc>
          <w:tcPr>
            <w:tcW w:type="dxa" w:w="0"/>
          </w:tcPr>
          <w:p>
            <w:r>
              <w:rPr>
                <w:b/>
              </w:rPr>
              <w:t>الصناديق الثلاثة</w:t>
            </w:r>
          </w:p>
        </w:tc>
        <w:tc>
          <w:tcPr>
            <w:tcW w:type="dxa" w:w="0"/>
          </w:tcPr>
          <w:p>
            <w:r>
              <w:t>فرز المعلومات حول النزاع: قوى دفع للسلام، فاعلون أساسيون، قوى دفع للنزاع.</w:t>
            </w:r>
          </w:p>
        </w:tc>
        <w:tc>
          <w:tcPr>
            <w:tcW w:type="dxa" w:w="0"/>
          </w:tcPr>
          <w:p>
            <w:r>
              <w:t>فهم بنيوي للوضع.</w:t>
            </w:r>
          </w:p>
        </w:tc>
      </w:tr>
      <w:tr>
        <w:tc>
          <w:tcPr>
            <w:tcW w:type="dxa" w:w="0"/>
          </w:tcPr>
          <w:p>
            <w:r>
              <w:rPr>
                <w:b/>
              </w:rPr>
              <w:t>2</w:t>
            </w:r>
          </w:p>
        </w:tc>
        <w:tc>
          <w:tcPr>
            <w:tcW w:type="dxa" w:w="0"/>
          </w:tcPr>
          <w:p>
            <w:r>
              <w:rPr>
                <w:b/>
              </w:rPr>
              <w:t>مخطط كيرل</w:t>
            </w:r>
          </w:p>
        </w:tc>
        <w:tc>
          <w:tcPr>
            <w:tcW w:type="dxa" w:w="0"/>
          </w:tcPr>
          <w:p>
            <w:r>
              <w:t>تحديد المرحلة الحالية للنزاع على منحنى التحوّل واختيار التدخل المناسب.</w:t>
            </w:r>
          </w:p>
        </w:tc>
        <w:tc>
          <w:tcPr>
            <w:tcW w:type="dxa" w:w="0"/>
          </w:tcPr>
          <w:p>
            <w:r>
              <w:t>تموضع زمني للتدخل.</w:t>
            </w:r>
          </w:p>
        </w:tc>
      </w:tr>
      <w:tr>
        <w:tc>
          <w:tcPr>
            <w:tcW w:type="dxa" w:w="0"/>
          </w:tcPr>
          <w:p>
            <w:r>
              <w:rPr>
                <w:b/>
              </w:rPr>
              <w:t>3</w:t>
            </w:r>
          </w:p>
        </w:tc>
        <w:tc>
          <w:tcPr>
            <w:tcW w:type="dxa" w:w="0"/>
          </w:tcPr>
          <w:p>
            <w:r>
              <w:rPr>
                <w:b/>
              </w:rPr>
              <w:t>مصفوفة RPP</w:t>
            </w:r>
          </w:p>
        </w:tc>
        <w:tc>
          <w:tcPr>
            <w:tcW w:type="dxa" w:w="0"/>
          </w:tcPr>
          <w:p>
            <w:r>
              <w:t>تموقع الأنشطة على مصفوفة 2×2 بحسب الفئة المُستَهدَفة (أشخاص رئيسيون / عدد أكبر) ومستوى التغيير المُستَهدف (فردي / اجتماعي-سياسي).</w:t>
            </w:r>
          </w:p>
        </w:tc>
        <w:tc>
          <w:tcPr>
            <w:tcW w:type="dxa" w:w="0"/>
          </w:tcPr>
          <w:p>
            <w:r>
              <w:t>استراتيجية تدخّل متوازنة.</w:t>
            </w:r>
          </w:p>
        </w:tc>
      </w:tr>
      <w:tr>
        <w:tc>
          <w:tcPr>
            <w:tcW w:type="dxa" w:w="0"/>
          </w:tcPr>
          <w:p>
            <w:r>
              <w:rPr>
                <w:b/>
              </w:rPr>
              <w:t>4</w:t>
            </w:r>
          </w:p>
        </w:tc>
        <w:tc>
          <w:tcPr>
            <w:tcW w:type="dxa" w:w="0"/>
          </w:tcPr>
          <w:p>
            <w:r>
              <w:rPr>
                <w:b/>
              </w:rPr>
              <w:t>نظرية التغيير</w:t>
            </w:r>
          </w:p>
        </w:tc>
        <w:tc>
          <w:tcPr>
            <w:tcW w:type="dxa" w:w="0"/>
          </w:tcPr>
          <w:p>
            <w:r>
              <w:t>صياغة الفرضيات السببية بصيغة «إذا فعلنا X، فسيؤدي إلى Y لأنّ...».</w:t>
            </w:r>
          </w:p>
        </w:tc>
        <w:tc>
          <w:tcPr>
            <w:tcW w:type="dxa" w:w="0"/>
          </w:tcPr>
          <w:p>
            <w:r>
              <w:t>منطق برنامج قابل للاختبار.</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t>مبدأ تأسيسي</w:t>
        <w:t xml:space="preserve"> </w:t>
        <w:t xml:space="preserve">لا يَكفي تحديد الفاعلين والعوامل، بل يَجب فهم </w:t>
      </w:r>
      <w:r>
        <w:rPr>
          <w:b/>
        </w:rPr>
        <w:t>العلاقات والديناميكيات</w:t>
      </w:r>
      <w:r>
        <w:t xml:space="preserve"> بينهم وكيفية تَطوّرها. التحليل الجيد ليس وصفياً، بل تفسيرياً وتنبؤياً.</w:t>
      </w:r>
    </w:p>
    <w:p>
      <w:r>
        <w:t>القسم 3</w:t>
        <w:t xml:space="preserve"> </w:t>
        <w:t>المرحلة 1 — تحليل الصناديق الثلاثة</w:t>
        <w:t xml:space="preserve"> </w:t>
        <w:t xml:space="preserve">فَرز المعلومات حول قضية الصحراء وفق ثلاث خانات: قوى الدفع للسلام، الفاعلون الأساسيون، وقوى الدفع للنزاع. الهدف: </w:t>
      </w:r>
      <w:r>
        <w:rPr>
          <w:i/>
        </w:rPr>
        <w:t>الوضوح، لا الكمال.</w:t>
      </w:r>
    </w:p>
    <w:tbl>
      <w:tblPr>
        <w:tblW w:type="auto" w:w="0"/>
        <w:tblLook w:firstColumn="1" w:firstRow="1" w:lastColumn="0" w:lastRow="0" w:noHBand="0" w:noVBand="1" w:val="04A0"/>
      </w:tblPr>
      <w:tblGrid>
        <w:gridCol w:w="0"/>
        <w:gridCol w:w="0"/>
        <w:gridCol w:w="0"/>
      </w:tblGrid>
      <w:tr>
        <w:tc>
          <w:tcPr>
            <w:tcW w:type="dxa" w:w="0"/>
          </w:tcPr>
          <w:p>
            <w:r>
              <w:t>قوى الدفع للسلام</w:t>
              <w:br/>
              <w:t>(للبناء عليها)</w:t>
            </w:r>
          </w:p>
        </w:tc>
        <w:tc>
          <w:tcPr>
            <w:tcW w:type="dxa" w:w="0"/>
          </w:tcPr>
          <w:p>
            <w:r>
              <w:t>الفاعلون الأساسيون</w:t>
            </w:r>
          </w:p>
        </w:tc>
        <w:tc>
          <w:tcPr>
            <w:tcW w:type="dxa" w:w="0"/>
          </w:tcPr>
          <w:p>
            <w:r>
              <w:t>قوى الدفع للنزاع</w:t>
              <w:br/>
              <w:t>(للتحييد)</w:t>
            </w:r>
          </w:p>
        </w:tc>
      </w:tr>
      <w:tr>
        <w:tc>
          <w:tcPr>
            <w:tcW w:type="dxa" w:w="0"/>
          </w:tcPr>
          <w:p/>
        </w:tc>
        <w:tc>
          <w:tcPr>
            <w:tcW w:type="dxa" w:w="0"/>
          </w:tcPr>
          <w:p/>
        </w:tc>
        <w:tc>
          <w:tcPr>
            <w:tcW w:type="dxa" w:w="0"/>
          </w:tcPr>
          <w:p/>
        </w:tc>
      </w:tr>
    </w:tbl>
    <w:p>
      <w:r>
        <w:t xml:space="preserve"> </w:t>
      </w:r>
    </w:p>
    <w:p>
      <w:r>
        <w:t xml:space="preserve"> </w:t>
      </w:r>
    </w:p>
    <w:p>
      <w:r>
        <w:t xml:space="preserve"> </w:t>
      </w:r>
    </w:p>
    <w:p>
      <w:pPr>
        <w:pStyle w:val="ListBullet"/>
      </w:pPr>
      <w:r>
        <w:t>هيئة الإنصاف والمصالحة (IER 2004-2005): سابقة عربية وحيدة.</w:t>
      </w:r>
    </w:p>
    <w:p>
      <w:pPr>
        <w:pStyle w:val="ListBullet"/>
      </w:pPr>
      <w:r>
        <w:t>الخطاب الملكي بعد قرار 2797: إطار «العودة» بدل «الإدماج بالقوة».</w:t>
      </w:r>
    </w:p>
    <w:p>
      <w:pPr>
        <w:pStyle w:val="ListBullet"/>
      </w:pPr>
      <w:r>
        <w:t>روابط القرابة العابرة: عائلات مفصولة منذ 50 سنة، نفس القبائل (الرڭيبات، تكنة، أولاد دليم).</w:t>
      </w:r>
    </w:p>
    <w:p>
      <w:pPr>
        <w:pStyle w:val="ListBullet"/>
      </w:pPr>
      <w:r>
        <w:t>اللهجة الحسانية المشتركة.</w:t>
      </w:r>
    </w:p>
    <w:p>
      <w:pPr>
        <w:pStyle w:val="ListBullet"/>
      </w:pPr>
      <w:r>
        <w:t>الإسلام المالكي والزوايا.</w:t>
      </w:r>
    </w:p>
    <w:p>
      <w:pPr>
        <w:pStyle w:val="ListBullet"/>
      </w:pPr>
      <w:r>
        <w:t>الجهوية المتقدمة 2015: الإطار القانوني جاهز.</w:t>
      </w:r>
    </w:p>
    <w:p>
      <w:pPr>
        <w:pStyle w:val="ListBullet"/>
      </w:pPr>
      <w:r>
        <w:t>الازدهار الاقتصادي للصحراء المغربية: ميناء الداخلة، طاقات شمسية، فوسفاط — توفير فرص شغل حقيقية.</w:t>
      </w:r>
    </w:p>
    <w:p>
      <w:pPr>
        <w:pStyle w:val="ListBullet"/>
      </w:pPr>
      <w:r>
        <w:t>القوة الديبلوماسية للمغرب: دعم الولايات المتحدة، فرنسا، إسبانيا، المملكة المتحدة، وأكثر من 120 دولة.</w:t>
      </w:r>
    </w:p>
    <w:p>
      <w:pPr>
        <w:pStyle w:val="ListBullet"/>
      </w:pPr>
      <w:r>
        <w:t>الاستقرار السياسي والمؤسساتي للمغرب: من بين أكثر دول إفريقيا استقراراً.</w:t>
      </w:r>
    </w:p>
    <w:p>
      <w:pPr>
        <w:pStyle w:val="ListBullet"/>
      </w:pPr>
      <w:r>
        <w:t>الملك محمد السادس: سلطة معنوية + دينية + سياسية.</w:t>
      </w:r>
    </w:p>
    <w:p>
      <w:pPr>
        <w:pStyle w:val="ListBullet"/>
      </w:pPr>
      <w:r>
        <w:t>الكوادر السابقون للبوليساريو الذين عادوا.</w:t>
      </w:r>
    </w:p>
    <w:p>
      <w:pPr>
        <w:pStyle w:val="ListBullet"/>
      </w:pPr>
      <w:r>
        <w:t>النساء الصحراويات على الجانبين.</w:t>
      </w:r>
    </w:p>
    <w:p>
      <w:pPr>
        <w:pStyle w:val="ListBullet"/>
      </w:pPr>
      <w:r>
        <w:t>شيوخ القبائل التقليديون.</w:t>
      </w:r>
    </w:p>
    <w:p>
      <w:pPr>
        <w:pStyle w:val="ListBullet"/>
      </w:pPr>
      <w:r>
        <w:t>الجالية الصحراوية في إسبانيا.</w:t>
      </w:r>
    </w:p>
    <w:p>
      <w:pPr>
        <w:pStyle w:val="ListBullet"/>
      </w:pPr>
      <w:r>
        <w:t>الشباب 18-30 (الفئة المستهدفة الرئيسية).</w:t>
      </w:r>
    </w:p>
    <w:p>
      <w:pPr>
        <w:pStyle w:val="ListBullet"/>
      </w:pPr>
      <w:r>
        <w:t>المجلس الوطني لحقوق الإنسان.</w:t>
      </w:r>
    </w:p>
    <w:p>
      <w:pPr>
        <w:pStyle w:val="ListBullet"/>
      </w:pPr>
      <w:r>
        <w:t>الجامعات ومراكز البحث المغربية.</w:t>
      </w:r>
    </w:p>
    <w:p>
      <w:pPr>
        <w:pStyle w:val="ListBullet"/>
      </w:pPr>
      <w:r>
        <w:t>النخبة العسكرية للبوليساريو في تندوف: تَفقد مكانة ورواتب — مقاومة قصوى متوقعة.</w:t>
      </w:r>
    </w:p>
    <w:p>
      <w:pPr>
        <w:pStyle w:val="ListBullet"/>
      </w:pPr>
      <w:r>
        <w:t>المخابرات العسكرية الجزائرية.</w:t>
      </w:r>
    </w:p>
    <w:p>
      <w:pPr>
        <w:pStyle w:val="ListBullet"/>
      </w:pPr>
      <w:r>
        <w:t>المحافظون المغاربة الذين قد يَرون العائدين «خونة يُكافأون».</w:t>
      </w:r>
    </w:p>
    <w:p>
      <w:pPr>
        <w:pStyle w:val="ListBullet"/>
      </w:pPr>
      <w:r>
        <w:t>الصحراويون «التاريخيون» في المغرب: خطر الغيرة الهوياتية.</w:t>
      </w:r>
    </w:p>
    <w:p>
      <w:pPr>
        <w:pStyle w:val="ListBullet"/>
      </w:pPr>
      <w:r>
        <w:t>منظمات دولية مؤيدة لانفصال الأقاليم وتفكيك الدول، تَنشط في أوروبا وجنوب إفريقيا، وتَستعمل قضية الصحراء ضمن أجندتها.</w:t>
      </w:r>
    </w:p>
    <w:p>
      <w:pPr>
        <w:pStyle w:val="ListBullet"/>
      </w:pPr>
      <w:r>
        <w:t>صدمة عابرة للأجيال: 50 سنة من السرد العائلي العدائي.</w:t>
      </w:r>
    </w:p>
    <w:p>
      <w:pPr>
        <w:pStyle w:val="ListBullet"/>
      </w:pPr>
      <w:r>
        <w:t>اقتصاد ريع النزاع في تندوف.</w:t>
      </w:r>
    </w:p>
    <w:p>
      <w:pPr>
        <w:pStyle w:val="ListBullet"/>
      </w:pPr>
      <w:r>
        <w:rPr>
          <w:b/>
        </w:rPr>
        <w:t>خطر التطرف العنيف من بعض العائدين</w:t>
      </w:r>
      <w:r>
        <w:t xml:space="preserve">: قبول الحكم الذاتي قد يَكون لدى البعض ذريعة للوصول إلى التراب المغربي والقيام بأعمال عنيفة، حتى بعيداً عن الصحراء (الرباط، الدار البيضاء...). هذا الخطر </w:t>
      </w:r>
      <w:r>
        <w:rPr>
          <w:b/>
        </w:rPr>
        <w:t>تَكرّر تَنبيهٌ صريح إليه من داخل الصحراويين أنفسهم</w:t>
      </w:r>
      <w:r>
        <w:t xml:space="preserve"> خلال المسار التحليلي للمشروع.</w:t>
      </w:r>
    </w:p>
    <w:p>
      <w:pPr>
        <w:pStyle w:val="Heading2"/>
      </w:pPr>
      <w:r>
        <w:t>العوامل الدافعة الرئيسية (Key Driving Factors)</w:t>
      </w:r>
    </w:p>
    <w:p>
      <w:r>
        <w:t xml:space="preserve">من تحليل الصناديق الثلاثة، تَنبثق </w:t>
      </w:r>
      <w:r>
        <w:rPr>
          <w:b/>
        </w:rPr>
        <w:t>خمسة عوامل محورية</w:t>
      </w:r>
      <w:r>
        <w:t xml:space="preserve"> يَقوم عليها المشروع:</w:t>
      </w:r>
    </w:p>
    <w:p>
      <w:pPr>
        <w:pStyle w:val="ListNumber"/>
      </w:pPr>
      <w:r>
        <w:t xml:space="preserve">مستوى </w:t>
      </w:r>
      <w:r>
        <w:rPr>
          <w:b/>
        </w:rPr>
        <w:t>الثقة</w:t>
      </w:r>
      <w:r>
        <w:t xml:space="preserve"> التي يَشعر بها شباب تندوف تجاه المشروع المغربي.</w:t>
      </w:r>
    </w:p>
    <w:p>
      <w:pPr>
        <w:pStyle w:val="ListNumber"/>
      </w:pPr>
      <w:r>
        <w:t xml:space="preserve">القدرة على تقديم </w:t>
      </w:r>
      <w:r>
        <w:rPr>
          <w:b/>
        </w:rPr>
        <w:t>كرامة اقتصادية</w:t>
      </w:r>
      <w:r>
        <w:t xml:space="preserve"> للعائدين (لا الصدقة، بل المكانة).</w:t>
      </w:r>
    </w:p>
    <w:p>
      <w:pPr>
        <w:pStyle w:val="ListNumber"/>
      </w:pPr>
      <w:r>
        <w:t>حجم الفضاء الرمزي المتروك للهوية الصحراوية المتميزة (لغة، ثقافة، ذاكرة).</w:t>
      </w:r>
    </w:p>
    <w:p>
      <w:pPr>
        <w:pStyle w:val="ListNumber"/>
      </w:pPr>
      <w:r>
        <w:t>مَرئية ومصداقية «حاملي الذاكرة» العائدين.</w:t>
      </w:r>
    </w:p>
    <w:p>
      <w:pPr>
        <w:pStyle w:val="ListNumber"/>
      </w:pPr>
      <w:r>
        <w:t>مستوى الحماية من التوظيف السياسي والإعلامي، ومن الاختراق الأمني.</w:t>
      </w:r>
    </w:p>
    <w:p>
      <w:r>
        <w:t>القسم 4</w:t>
        <w:t xml:space="preserve"> </w:t>
        <w:t>المرحلة 2 — مخطط كيرل</w:t>
        <w:t xml:space="preserve"> </w:t>
        <w:t xml:space="preserve">يَرسم نموذج آدم كيرل المسار من النزاع الكامن إلى السلام المستدام عبر </w:t>
      </w:r>
      <w:r>
        <w:rPr>
          <w:b/>
        </w:rPr>
        <w:t>أربع مراحل</w:t>
      </w:r>
      <w:r>
        <w:t>، على محورين: درجة الوعي بالقضايا (أفقي)، توازن السلطة (عمودي).</w:t>
      </w:r>
    </w:p>
    <w:p>
      <w:r>
        <w:t>سلطة غير متوازنة ← ← سلطة متوازنة 1 النزاع الكامن</w:t>
      </w:r>
    </w:p>
    <w:p>
      <w:pPr>
        <w:pStyle w:val="Heading4"/>
      </w:pPr>
    </w:p>
    <w:p>
      <w:r>
        <w:t>سلطة غير متوازنة، وعي منخفض، الظلم لم يُسَمَّ بعد.</w:t>
      </w:r>
    </w:p>
    <w:p>
      <w:r>
        <w:t>التدخل: تحسيس، تنظيم، رفع الوعي.</w:t>
      </w:r>
    </w:p>
    <w:p>
      <w:r>
        <w:t>2 النزاع الظاهر</w:t>
      </w:r>
    </w:p>
    <w:p>
      <w:pPr>
        <w:pStyle w:val="Heading4"/>
      </w:pPr>
    </w:p>
    <w:p>
      <w:r>
        <w:t>وعي مرتفع، سلطة لا تَزال غير متوازنة، الصراع يَطفو.</w:t>
      </w:r>
    </w:p>
    <w:p>
      <w:r>
        <w:t>التدخل: عمل لاعنفي، مناصرة، حماية.</w:t>
      </w:r>
    </w:p>
    <w:p>
      <w:r>
        <w:t>3 تسوية النزاع</w:t>
      </w:r>
    </w:p>
    <w:p>
      <w:pPr>
        <w:pStyle w:val="Heading4"/>
      </w:pPr>
    </w:p>
    <w:p>
      <w:r>
        <w:t>اعتراف بضرورة الحل، السلطة بَدأت تَتوازن.</w:t>
      </w:r>
    </w:p>
    <w:p>
      <w:r>
        <w:t>التدخل: تفاوض، وساطة، استيعاب.</w:t>
      </w:r>
    </w:p>
    <w:p>
      <w:r>
        <w:t>4 سلام مستدام</w:t>
      </w:r>
    </w:p>
    <w:p>
      <w:pPr>
        <w:pStyle w:val="Heading4"/>
      </w:pPr>
    </w:p>
    <w:p>
      <w:r>
        <w:t>سلطة متوازنة، وعي عالٍ، عدالة.</w:t>
      </w:r>
    </w:p>
    <w:p>
      <w:r>
        <w:t>التدخل: مصالحة، بناء المؤسسات.</w:t>
      </w:r>
    </w:p>
    <w:p>
      <w:r>
        <w:t>وعي منخفض وعي عالٍ بالقضايا التشخيص: اختلال في المرحلة بين الأطراف</w:t>
      </w:r>
    </w:p>
    <w:p>
      <w:pPr>
        <w:pStyle w:val="Heading2"/>
      </w:pPr>
    </w:p>
    <w:p>
      <w:r>
        <w:t>كل طرف من أطراف النزاع يَعيش في مرحلة مختلفة من المنحنى. فهم هذا الاختلال هو ما يَجعل تصميم التدخل دقيقاً:</w:t>
      </w:r>
    </w:p>
    <w:tbl>
      <w:tblPr>
        <w:tblW w:type="auto" w:w="0"/>
        <w:tblLook w:firstColumn="1" w:firstRow="1" w:lastColumn="0" w:lastRow="0" w:noHBand="0" w:noVBand="1" w:val="04A0"/>
      </w:tblPr>
      <w:tblGrid>
        <w:gridCol w:w="2880"/>
        <w:gridCol w:w="2880"/>
        <w:gridCol w:w="2880"/>
      </w:tblGrid>
      <w:tr>
        <w:tc>
          <w:tcPr>
            <w:tcW w:type="dxa" w:w="0"/>
          </w:tcPr>
          <w:p>
            <w:r>
              <w:t>الطرف</w:t>
            </w:r>
          </w:p>
        </w:tc>
        <w:tc>
          <w:tcPr>
            <w:tcW w:type="dxa" w:w="0"/>
          </w:tcPr>
          <w:p>
            <w:r>
              <w:t>المرحلة</w:t>
            </w:r>
          </w:p>
        </w:tc>
        <w:tc>
          <w:tcPr>
            <w:tcW w:type="dxa" w:w="0"/>
          </w:tcPr>
          <w:p>
            <w:r>
              <w:t>ما يَحتاجه</w:t>
            </w:r>
          </w:p>
        </w:tc>
      </w:tr>
      <w:tr>
        <w:tc>
          <w:tcPr>
            <w:tcW w:type="dxa" w:w="0"/>
          </w:tcPr>
          <w:p>
            <w:r>
              <w:rPr>
                <w:b/>
              </w:rPr>
              <w:t>سكان تندوف</w:t>
            </w:r>
          </w:p>
        </w:tc>
        <w:tc>
          <w:tcPr>
            <w:tcW w:type="dxa" w:w="0"/>
          </w:tcPr>
          <w:p>
            <w:r>
              <w:rPr>
                <w:b/>
              </w:rPr>
              <w:t>1 → 2</w:t>
            </w:r>
          </w:p>
        </w:tc>
        <w:tc>
          <w:tcPr>
            <w:tcW w:type="dxa" w:w="0"/>
          </w:tcPr>
          <w:p>
            <w:r>
              <w:t>تحسيس بأن العالم تغيّر، عرض بدائل، فتح نوافذ معلومات.</w:t>
            </w:r>
          </w:p>
        </w:tc>
      </w:tr>
      <w:tr>
        <w:tc>
          <w:tcPr>
            <w:tcW w:type="dxa" w:w="0"/>
          </w:tcPr>
          <w:p>
            <w:r>
              <w:rPr>
                <w:b/>
              </w:rPr>
              <w:t>العائدون / الراغبون في العودة</w:t>
            </w:r>
          </w:p>
        </w:tc>
        <w:tc>
          <w:tcPr>
            <w:tcW w:type="dxa" w:w="0"/>
          </w:tcPr>
          <w:p>
            <w:r>
              <w:rPr>
                <w:b/>
              </w:rPr>
              <w:t>2 → 3</w:t>
            </w:r>
          </w:p>
        </w:tc>
        <w:tc>
          <w:tcPr>
            <w:tcW w:type="dxa" w:w="0"/>
          </w:tcPr>
          <w:p>
            <w:r>
              <w:t>مرافقة في الانتقال، حماية الكرامة، استيعاب تدريجي.</w:t>
            </w:r>
          </w:p>
        </w:tc>
      </w:tr>
      <w:tr>
        <w:tc>
          <w:tcPr>
            <w:tcW w:type="dxa" w:w="0"/>
          </w:tcPr>
          <w:p>
            <w:r>
              <w:rPr>
                <w:b/>
              </w:rPr>
              <w:t>مغاربة الجنوب والشمال</w:t>
            </w:r>
          </w:p>
        </w:tc>
        <w:tc>
          <w:tcPr>
            <w:tcW w:type="dxa" w:w="0"/>
          </w:tcPr>
          <w:p>
            <w:r>
              <w:rPr>
                <w:b/>
              </w:rPr>
              <w:t>3 → 4</w:t>
            </w:r>
          </w:p>
        </w:tc>
        <w:tc>
          <w:tcPr>
            <w:tcW w:type="dxa" w:w="0"/>
          </w:tcPr>
          <w:p>
            <w:r>
              <w:t>تأطير المصالحة، تجنّب خطاب الانتقام، استقبال متكافئ.</w:t>
            </w:r>
          </w:p>
        </w:tc>
      </w:tr>
      <w:tr>
        <w:tc>
          <w:tcPr>
            <w:tcW w:type="dxa" w:w="0"/>
          </w:tcPr>
          <w:p>
            <w:r>
              <w:rPr>
                <w:b/>
              </w:rPr>
              <w:t>كوادر البوليساريو السابقة</w:t>
            </w:r>
          </w:p>
        </w:tc>
        <w:tc>
          <w:tcPr>
            <w:tcW w:type="dxa" w:w="0"/>
          </w:tcPr>
          <w:p>
            <w:r>
              <w:rPr>
                <w:b/>
              </w:rPr>
              <w:t>3 → 4</w:t>
            </w:r>
          </w:p>
        </w:tc>
        <w:tc>
          <w:tcPr>
            <w:tcW w:type="dxa" w:w="0"/>
          </w:tcPr>
          <w:p>
            <w:r>
              <w:t>مكانة، مرئية، شرعنة دور «حاملي الذاكرة».</w:t>
            </w:r>
          </w:p>
        </w:tc>
      </w:tr>
    </w:tbl>
    <w:p>
      <w:r>
        <w:t xml:space="preserve"> </w:t>
      </w:r>
    </w:p>
    <w:p>
      <w:r>
        <w:t xml:space="preserve"> </w:t>
      </w:r>
    </w:p>
    <w:p>
      <w:r>
        <w:t xml:space="preserve"> </w:t>
      </w:r>
    </w:p>
    <w:p>
      <w:r>
        <w:t xml:space="preserve"> </w:t>
      </w:r>
    </w:p>
    <w:p>
      <w:r>
        <w:t xml:space="preserve"> </w:t>
      </w:r>
    </w:p>
    <w:p>
      <w:r>
        <w:t xml:space="preserve"> </w:t>
      </w:r>
    </w:p>
    <w:p>
      <w:r>
        <w:t xml:space="preserve"> القسم 5 المرحلة 3 — مصفوفة RPP مصفوفة RPP تُجبرنا على وَضع كل نشاط على إحدى الخانات الأربع الناتجة عن تقاطع بُعدين:</w:t>
      </w:r>
    </w:p>
    <w:p>
      <w:pPr>
        <w:pStyle w:val="ListBullet"/>
      </w:pPr>
      <w:r>
        <w:rPr>
          <w:b/>
        </w:rPr>
        <w:t>الفئة المُستَهدَفة:</w:t>
      </w:r>
      <w:r>
        <w:t xml:space="preserve"> أشخاص رئيسيون (صنّاع قرار، قياديون، فاعلون مؤسساتيون) مقابل عدد أكبر من الأشخاص (الساكنة العامة، الشباب، الأسر).</w:t>
      </w:r>
    </w:p>
    <w:p>
      <w:pPr>
        <w:pStyle w:val="ListBullet"/>
      </w:pPr>
      <w:r>
        <w:rPr>
          <w:b/>
        </w:rPr>
        <w:t>مستوى التغيير:</w:t>
      </w:r>
      <w:r>
        <w:t xml:space="preserve"> فردي / شخصي (تغيير في القيم، المعرفة، السلوك) مقابل اجتماعي - سياسي (تغيير في المؤسسات، السياسات، البِنى).</w:t>
      </w:r>
    </w:p>
    <w:p>
      <w:r>
        <w:t>الأشخاص الرئيسيون</w:t>
        <w:br/>
        <w:t>(صنّاع القرار) عدد أكبر من الأشخاص</w:t>
        <w:br/>
        <w:t>(الساكنة العامة) تغيير</w:t>
        <w:br/>
        <w:t>فردي / شخصي الخانة 1: تغيير فردي عند الأشخاص الرئيسيين a1 شهادات علنية بأسلوب هيئة الإنصاف والمصالحة من كوادر البوليساريو العائدة. — كيرل 3 → 4 a2 تكوين شيوخ القبائل لإعادة فتح الروابط العابرة للحدود. — كيرل 1 → 2 الخانة 2: تغيير فردي عند عدد أكبر من الأشخاص a3 بَثّ محتوى رقمي بالحسانية (تيك توك، يوتيوب، بودكاست) → شباب تندوف. — كيرل 1 → 2 a4 خلية مرافقة فردية (قانون، شغل، سكن، نفسي) للعائدين. — كيرل 2 → 3 a5 قوافل ثقافية حسّانية وبرنامج أكاديمي عن الذاكرة المشتركة. — كيرل 3 → 4 تغيير</w:t>
        <w:br/>
        <w:t>اجتماعي - سياسي الخانة 3: تغيير اجتماعي-سياسي عند الأشخاص الرئيسيين a6 ميثاق استقبال موقّع من المجلس الوطني لحقوق الإنسان والجامعات والجماعات. — كيرل 3 → 4 a7 مناصرة لدى البرلمان لإطار قانوني «العودة الكريمة». — كيرل 3 → 4 a8 إطار قانوني وشباك وحيد «العودة الكريمة»: وضع مدني، معادلة شواهد كوادر البوليساريو، استرداد ملكيات، تمدرس، بطاقة تعريف، ضمان اجتماعي. — كيرل 3 → 4 الخانة 4: تغيير اجتماعي-سياسي عند عدد أكبر من الأشخاص a9 منصة إعلامية ثلاثية اللغة (حسّانية / دارجة / إسبانية). — كيرل 2 → 3 a10 مركز صِلَة بطانطان أو كلميم (فضاء مدني مهيكل، مستقل عن الدولة). — كيرل 3 → 4 a11 برنامج إدماج اقتصادي للعائدين (منح، قروض صغرى، شراكات الداخلة). — كيرل 3 → 4 العلاقات السببية بين الأنشطة</w:t>
      </w:r>
    </w:p>
    <w:p>
      <w:pPr>
        <w:pStyle w:val="Heading2"/>
      </w:pPr>
    </w:p>
    <w:p>
      <w:r>
        <w:t>كيف تَتسلسل الأنشطة لتُنتج أثراً تراكمياً:</w:t>
      </w:r>
    </w:p>
    <w:p>
      <w:r>
        <w:t>a3تجلب ←a4 a4تغذي ←a11 a2تضخم ←a1 a1تشرعن ←a10 a8تغذي ←a4 a8تؤطر ←a11 a9تضخم ←a3 a6تؤطر ←a11 a5تغذي ←a10 التحقق من معايير RPP الثلاثة</w:t>
      </w:r>
    </w:p>
    <w:p>
      <w:pPr>
        <w:pStyle w:val="Heading2"/>
      </w:pPr>
    </w:p>
    <w:p>
      <w:r>
        <w:t>المعيار 1 — مُحقَّق</w:t>
        <w:t xml:space="preserve"> </w:t>
      </w:r>
      <w:r>
        <w:rPr>
          <w:b/>
        </w:rPr>
        <w:t>عدم الانحصار في خانة واحدة:</w:t>
      </w:r>
      <w:r>
        <w:t xml:space="preserve"> الاستراتيجية تُغطّي الخانات الأربع (الخانة 1: نشاطان، الخانة 2: ثلاثة أنشطة، الخانة 3: ثلاثة أنشطة، الخانة 4: ثلاثة أنشطة).</w:t>
      </w:r>
    </w:p>
    <w:p>
      <w:r>
        <w:t>المعيار 2 — مُحقَّق</w:t>
        <w:t xml:space="preserve"> </w:t>
      </w:r>
      <w:r>
        <w:rPr>
          <w:b/>
        </w:rPr>
        <w:t>ربط التغيير الفردي بالتغيير الاجتماعي-السياسي:</w:t>
      </w:r>
      <w:r>
        <w:t xml:space="preserve"> أسهم a4 → a11 (مرافقة فردية تَقود إلى إدماج اقتصادي بنيوي)، a1 → a10 (شهادات تَقود إلى المركز)، a5 → a10 (برامج ثقافية تَقود إلى البنية التحتية).</w:t>
      </w:r>
    </w:p>
    <w:p>
      <w:r>
        <w:t>المعيار 3 — مُحقَّق</w:t>
        <w:t xml:space="preserve"> </w:t>
        <w:t xml:space="preserve">على المستوى الاجتماعي-السياسي، </w:t>
      </w:r>
      <w:r>
        <w:rPr>
          <w:b/>
        </w:rPr>
        <w:t>الوصول للأشخاص الرئيسيين وعدد أكبر معاً:</w:t>
      </w:r>
      <w:r>
        <w:t xml:space="preserve"> الخانة 3 (الميثاق، المناصرة البرلمانية، شباك «العودة الكريمة») والخانة 4 (الإعلام، المركز، الإدماج الاقتصادي) مع روابط فعلية بينها (a6 → a11، a8 → a11).</w:t>
      </w:r>
    </w:p>
    <w:p>
      <w:r>
        <w:t>القسم 6</w:t>
        <w:t xml:space="preserve"> </w:t>
        <w:t>المرحلة 4 — نظرية التغيير</w:t>
        <w:t xml:space="preserve"> </w:t>
        <w:t>نَختبر الفرضيات السببية الكامنة وراء الاستراتيجية بصيغة:</w:t>
        <w:br/>
      </w:r>
      <w:r>
        <w:rPr>
          <w:i/>
        </w:rPr>
        <w:t>«إذا فعلنا [X]، فسيؤدي إلى [Y] لأنّ [الآلية السببية]»</w:t>
      </w:r>
      <w:r>
        <w:t>. على مستويين: الكلّي (الفرضية العامة للمشروع) والجزئي (فرضية لكل نشاط).</w:t>
      </w:r>
    </w:p>
    <w:p>
      <w:pPr>
        <w:pStyle w:val="Heading2"/>
      </w:pPr>
      <w:r>
        <w:t>المستوى الكلّي — الفرضية العامة للمشروع</w:t>
      </w:r>
    </w:p>
    <w:p>
      <w:r>
        <w:t>إذا أنجزنا فضاءً مدنياً مستقلاً للسلام والمصالحة والبناء المشترك بين المغاربة والصحراويين العائدين من تندوف، مُشتغِلاً ومُعترفاً به، يَعمل خلال مرحلة ما بعد التسوية.</w:t>
      </w:r>
    </w:p>
    <w:p>
      <w:r>
        <w:t>سيُؤدّي إلى تعايش كريم وتشاركي بين الصحراويين العائدين والصحراويين المغاربة والمغاربة، مع هوية صحراوية محفوظة، ذاكرة معترف بها، حركية مُؤمّنة، وتطرف عنيف ممنوع.</w:t>
      </w:r>
    </w:p>
    <w:p>
      <w:r>
        <w:t>لأنّ</w:t>
      </w:r>
    </w:p>
    <w:p>
      <w:pPr>
        <w:pStyle w:val="ListNumber"/>
      </w:pPr>
      <w:r>
        <w:t>الحل المؤسساتي يَلوح (قرار 2797، حوالي 120 دولة) لكن الاستيعاب الاجتماعي لم يُحضَّر — بدون ذلك، يَبقى الحل إدارياً ولا يَصير إنسانياً.</w:t>
      </w:r>
    </w:p>
    <w:p>
      <w:pPr>
        <w:pStyle w:val="ListNumber"/>
      </w:pPr>
      <w:r>
        <w:t>تجربة هيئة الإنصاف والمصالحة 2004-2005 أثبتت أن لجان الحقيقة والمصالحة المغربية تَنجح، وأن المجتمع المدني أكثر مصداقية من الدولة لهذا العمل.</w:t>
      </w:r>
    </w:p>
    <w:p>
      <w:pPr>
        <w:pStyle w:val="ListNumber"/>
      </w:pPr>
      <w:r>
        <w:t>اختلال المرحلة في كيرل (تندوف بالمرحلة 1-2، المؤسسات بالمرحلة 3-4) يَخلق خطر أزمة بعد التسوية إذا لم نَفعل شيئاً.</w:t>
      </w:r>
    </w:p>
    <w:p>
      <w:pPr>
        <w:pStyle w:val="ListNumber"/>
      </w:pPr>
      <w:r>
        <w:t>النسيج العابر للحدود (قرابة، حسانية، إسلام مالكي، قبائل) رأسمال اجتماعي كامن لا يَستطيع أحدٌ آخر تفعيله — لا الدولة (مشكوك فيها)، لا الأمم المتحدة (خارجية)، لا البوليساريو (مَوصوم).</w:t>
      </w:r>
    </w:p>
    <w:p>
      <w:pPr>
        <w:pStyle w:val="ListNumber"/>
      </w:pPr>
      <w:r>
        <w:t xml:space="preserve">على مدى ثماني سنوات من الورشات، تَكرّر تنبيهٌ صريح من </w:t>
      </w:r>
      <w:r>
        <w:rPr>
          <w:b/>
        </w:rPr>
        <w:t>مشاركين صحراويين قادمين من تندوف</w:t>
      </w:r>
      <w:r>
        <w:t xml:space="preserve"> من أن جزءاً من الرافضين </w:t>
      </w:r>
      <w:r>
        <w:rPr>
          <w:b/>
        </w:rPr>
        <w:t>«لن يَهدأوا حتى يَروا الدم»</w:t>
      </w:r>
      <w:r>
        <w:t xml:space="preserve">. تَكرّر هذا التنبيه بشكل خاص خلال </w:t>
      </w:r>
      <w:r>
        <w:rPr>
          <w:b/>
        </w:rPr>
        <w:t>الورشة الختامية للمسار</w:t>
      </w:r>
      <w:r>
        <w:t>، حيث أكّده مشاركان صحراويان. هذا ليس إسقاطاً خارجياً، بل قراءة من داخل المجتمع الصحراوي نفسه — وهو ما يَجعل التحضير الاجتماعي والأمني واجباً، لا اختياراً.</w:t>
      </w:r>
    </w:p>
    <w:p>
      <w:pPr>
        <w:pStyle w:val="Heading2"/>
      </w:pPr>
      <w:r>
        <w:t>المستوى الجزئي — فرضية لكل نشاط محوري</w:t>
      </w:r>
    </w:p>
    <w:p>
      <w:r>
        <w:t>المحور 1 — المحتوى الرقمي ثقة متوسطة إذابَثّنا محتوى رقمياً بالحسانية يَستهدف الشباب 18-30 بتندوف (a3).</w:t>
      </w:r>
    </w:p>
    <w:p>
      <w:r>
        <w:t>سيؤدي إلىوُصول السرديات البديلة إلى مَن يَختار البحث عنها داخل المخيمات، وفتح نوافذ معلومات لمن هو مستعد لها.</w:t>
      </w:r>
    </w:p>
    <w:p>
      <w:r>
        <w:t>لأنّالهدف ليس إقناع الجميع — معظم الجمهور لن يَتحرك. الهدف هو ضمان أن مَن يَتساءل أو يَتردّد فعلاً يَجد مادة بديلة بدل الفراغ الإعلامي. حتى تَأثير محدود جداً يَكفي لخلق تيار من الراغبين في العودة الفردية.</w:t>
      </w:r>
    </w:p>
    <w:p>
      <w:r>
        <w:t>⚠ خطرإذا رَصدت المخابرات الجزائرية الحسابات وحَجبتها، أو إذا استَعمَله الرافضون لإطلاق حملة اتهامات بـ«الدعاية المغربية» تَدفع بمن كانوا مُتردّدين إلى التشدّد.</w:t>
      </w:r>
    </w:p>
    <w:p>
      <w:r>
        <w:t>المحور 2 — خلية المرافقة الفردية ثقة عالية إذاأنشأنا خلية مرافقة فردية (قانون، شغل، سكن، نفسي) للعائدين (a4).</w:t>
      </w:r>
    </w:p>
    <w:p>
      <w:r>
        <w:t>سيؤدي إلىالعائدون سيَعيشون العودة كريمة ومستقرة، مما يَخلق سابقة مطمئنة للقادمين.</w:t>
      </w:r>
    </w:p>
    <w:p>
      <w:r>
        <w:t>لأنّالعائدون الأوائل يَخدمون كإشارة اجتماعية؛ تجربتهم تَنتشر سريعاً في الشبكات العائلية بين تندوف والصحراء المغربية. تجربة إيجابية أقوى من أي تواصل رسمي.</w:t>
      </w:r>
    </w:p>
    <w:p>
      <w:r>
        <w:t>⚠ خطرإذا كانت الموارد ناقصة أو المرافقة سطحية، يَنقلب الأثر: مَن يَرفض العودة يَستعمل الحالات الأولى كمضاد.</w:t>
      </w:r>
    </w:p>
    <w:p>
      <w:r>
        <w:t>المحور 3 — الميثاق المؤسساتي والمناصرة ثقة متوسطة إذانَشَرنا ميثاق استقبال موقّع من المجلس الوطني لحقوق الإنسان والجامعات والجماعات (a6) + مناصرة برلمانية لإطار «العودة الكريمة» (a7).</w:t>
      </w:r>
    </w:p>
    <w:p>
      <w:r>
        <w:t>سيؤدي إلىالعودة الكريمة ستَكون لها إطار قانوني ومؤسساتي صريح وقابل للاحتجاج به.</w:t>
      </w:r>
    </w:p>
    <w:p>
      <w:r>
        <w:t>لأنّتجربة هيئة الإنصاف والمصالحة 2004-2005 أثبتت أن المواثيق الرسمية المُوقّعة تُنشئ معياراً لا يَستطيع الفاعلون المحليون تجاوزه.</w:t>
      </w:r>
    </w:p>
    <w:p>
      <w:r>
        <w:t>⚠ خطرإذا كان التوقيع رمزياً فقط دون آلية للمتابعة، يَصبح الميثاق حبراً على ورق.</w:t>
      </w:r>
    </w:p>
    <w:p>
      <w:r>
        <w:t>المحور 4 — مركز صِلَة ثقة عالية إذاافتتحنا مركز صِلَة بطانطان أو كلميم مع شهادات علنية بأسلوب هيئة الإنصاف والمصالحة (a10).</w:t>
      </w:r>
    </w:p>
    <w:p>
      <w:r>
        <w:t>سيؤدي إلىذاكرة الطرفين ستُعترَف بها وتُؤرشَف، بدون تراتبية.</w:t>
      </w:r>
    </w:p>
    <w:p>
      <w:r>
        <w:t>لأنّالأرشفة العلنية للروايات تُغيّر طبيعة النزاع: تَنقُل من ذاكرة حيّة (غير مستقرة) إلى ذاكرة مؤسساتية (مستقرة، مشتركة). آلية أساسية في كل مصالحة ما بعد النزاع.</w:t>
      </w:r>
    </w:p>
    <w:p>
      <w:r>
        <w:t>⚠ خطرإذا اعتُبر المركز ذراعاً للدولة، سيَرفض المتشككون الصحراويون الإدلاء بشهاداتهم. الاستقلالية المؤسساتية شرط لازم.</w:t>
      </w:r>
    </w:p>
    <w:p>
      <w:r>
        <w:t>المحور 5 — آلية الإنذار المبكر الأمنية ثقة منخفضة (لكن ضرورية) إذاأنشأنا آلية إنذار مبكر بالشراكة مع قياديين صحراويين موثوقين، تُستَخدم لرصد علامات التطرف العنيف لدى العائدين، إلى جانب توفير بدائل اقتصادية موثوقة.</w:t>
      </w:r>
    </w:p>
    <w:p>
      <w:r>
        <w:t>سيؤدي إلىخطر التطرف العنيف يُرصَد مبكراً ويُحيَّد، دون شيطنة جماعية ودون انعكاس على المجموع.</w:t>
      </w:r>
    </w:p>
    <w:p>
      <w:r>
        <w:t>لأنّ</w:t>
        <w:t xml:space="preserve">التحذيرات المُتكرّرة من داخل الصحراويين أنفسهم — على مدى ثماني سنوات من ورشات سويفور وآخرها الورشة الختامية — تُؤكّد أن جزءاً من الرافضين </w:t>
      </w:r>
      <w:r>
        <w:rPr>
          <w:b/>
        </w:rPr>
        <w:t>«لن يَهدأ حتى يَرى الدم»</w:t>
      </w:r>
      <w:r>
        <w:t>. الأقران الصحراويون وحدَهم هم الراصدون الموثوقون لهذا التيّار، لأنهم يَعرفون اللغة والشيفرة الداخلية والإشارات.</w:t>
      </w:r>
    </w:p>
    <w:p>
      <w:r>
        <w:t>⚠ خطراختراق الآلية يُعطي خطر اتهام صحراويين أبرياء. التَوسّع المُفرِط في تعريف «التطرف» قد يَنقلب إلى تجريم سياسي. الآلية يَجب أن تَبقى ضيّقة، عملياتية، ومستقلة.</w:t>
      </w:r>
    </w:p>
    <w:p>
      <w:r>
        <w:t>القسم 7 الخلاصة والتوصيات بعد تطبيق المراحل الأربع، تَنتهي هذه الوثيقة إلى خمس قناعات استراتيجية:</w:t>
      </w:r>
    </w:p>
    <w:p>
      <w:pPr>
        <w:pStyle w:val="Heading3"/>
      </w:pPr>
      <w:r>
        <w:t>1 · النافذة الزمنية مفتوحة الآن</w:t>
      </w:r>
    </w:p>
    <w:p>
      <w:r>
        <w:t>الديناميكية الديبلوماسية مالت بشكل واضح لصالح المغرب، لكن الاستيعاب الاجتماعي للحل لم يُحضَّر بعد. كل شهر يَمر دون تَحضير الأرضية الإنسانية والاجتماعية هو خسارة لا تَعوّض.</w:t>
      </w:r>
    </w:p>
    <w:p>
      <w:pPr>
        <w:pStyle w:val="Heading3"/>
      </w:pPr>
      <w:r>
        <w:t>2 · مشروع صِلَة هو الجسر بين الديبلوماسية والإنسانية</w:t>
      </w:r>
    </w:p>
    <w:p>
      <w:r>
        <w:t>دون هذا الجسر، يَبقى الحل إدارياً، ولا يَصير إنسانياً. والاتفاق السياسي بدون أرضية اجتماعية يَنفجر بعد سنوات — هذا ما تُعلّمه كل تجارب ما بعد النزاع في القرن الماضي.</w:t>
      </w:r>
    </w:p>
    <w:p>
      <w:pPr>
        <w:pStyle w:val="Heading3"/>
      </w:pPr>
      <w:r>
        <w:t>3 · الاستقلالية المؤسساتية شرط لازم</w:t>
      </w:r>
    </w:p>
    <w:p>
      <w:r>
        <w:t>إذا اعتُبر المشروع ذراعاً تواصلية للدولة، يَموت أمام الصحراويين. قوة المشروع هي مَدنيته، لا قُربه من السلطة.</w:t>
      </w:r>
    </w:p>
    <w:p>
      <w:pPr>
        <w:pStyle w:val="Heading3"/>
      </w:pPr>
      <w:r>
        <w:t>4 · الخطر الأمني حقيقي ومُوَثَّق</w:t>
      </w:r>
    </w:p>
    <w:p>
      <w:r>
        <w:t xml:space="preserve">التحذير من احتمال أن يَستغل بعض الرافضين الحكم الذاتي كذريعة للوصول إلى التراب المغربي والقيام بأعمال عنيفة، حتى بعيداً عن الصحراء (الرباط، الدار البيضاء وغيرهما)، تَكرّر بشكل صريح من </w:t>
      </w:r>
      <w:r>
        <w:rPr>
          <w:b/>
        </w:rPr>
        <w:t>مشاركين صحراويين أنفسهم</w:t>
      </w:r>
      <w:r>
        <w:t xml:space="preserve"> على مدى ثماني سنوات من الورشات. آلية الإنذار المبكر </w:t>
      </w:r>
      <w:r>
        <w:rPr>
          <w:b/>
        </w:rPr>
        <w:t>ليست خياراً، بل ضرورة وجودية للمشروع</w:t>
      </w:r>
      <w:r>
        <w:t>.</w:t>
      </w:r>
    </w:p>
    <w:p>
      <w:pPr>
        <w:pStyle w:val="Heading3"/>
      </w:pPr>
      <w:r>
        <w:t>5 · العمل الحقيقي يَبدأ بعد التوقيع</w:t>
      </w:r>
    </w:p>
    <w:p>
      <w:r>
        <w:t>السياسة ستَكون قد انتهت. مصالحة الناس ستَأخذ 20 سنة، ولا أحد غير المجتمع المدني المغربي قادر على إنجازها بمصداقية.</w:t>
      </w:r>
    </w:p>
    <w:p>
      <w:pPr>
        <w:pStyle w:val="Heading2"/>
      </w:pPr>
      <w:r>
        <w:t>التوصيات العملية</w:t>
      </w:r>
    </w:p>
    <w:p>
      <w:pPr>
        <w:pStyle w:val="ListNumber"/>
      </w:pPr>
      <w:r>
        <w:t>تَأمين تمويلات مستقلة ومُتنوّعة (لا يَجب أن تَكون الدولة المغربية الممول الوحيد).</w:t>
      </w:r>
    </w:p>
    <w:p>
      <w:pPr>
        <w:pStyle w:val="ListNumber"/>
      </w:pPr>
      <w:r>
        <w:t>اختيار الموقع الجغرافي للمركز (طانطان أو كلميم — منطقة احتكاك تاريخي محايدة).</w:t>
      </w:r>
    </w:p>
    <w:p>
      <w:pPr>
        <w:pStyle w:val="ListNumber"/>
      </w:pPr>
      <w:r>
        <w:t>صياغة ميثاق أخلاقي للمشروع: لا استحواذ، لا سردية انتصار، تكافؤ في الكلام.</w:t>
      </w:r>
    </w:p>
    <w:p>
      <w:pPr>
        <w:pStyle w:val="ListNumber"/>
      </w:pPr>
      <w:r>
        <w:t>بناء شراكات مع المجلس الوطني لحقوق الإنسان، الجامعات، والجماعات المحلية.</w:t>
      </w:r>
    </w:p>
    <w:p>
      <w:pPr>
        <w:pStyle w:val="ListNumber"/>
      </w:pPr>
      <w:r>
        <w:t>وَضع آلية الإنذار المبكر بالتنسيق مع شبكات بُناة السلام الصحراويين.</w:t>
      </w:r>
    </w:p>
    <w:p>
      <w:pPr>
        <w:pStyle w:val="ListNumber"/>
      </w:pPr>
      <w:r>
        <w:t>إطلاق المرحلة 0 (تهيئة الميدان، 12 شهراً): رسم خريطة العائلات المنفصلة، بنك شهادات، شراكات أولية.</w:t>
      </w:r>
    </w:p>
    <w:p>
      <w:pPr>
        <w:pStyle w:val="ListNumber"/>
      </w:pPr>
      <w:r>
        <w:t>اعتماد لغة بَنكية للرسائل: لا «انتصار»، لا «نهاية»، بل «بداية مرحلة جديدة».</w:t>
      </w:r>
    </w:p>
    <w:p>
      <w:r>
        <w:t>القسم 8 المصادر</w:t>
      </w:r>
    </w:p>
    <w:p>
      <w:pPr>
        <w:pStyle w:val="ListNumber"/>
      </w:pPr>
      <w:r>
        <w:t>قرار مجلس الأمن للأمم المتحدة 2797 (أكتوبر 2025).</w:t>
      </w:r>
    </w:p>
    <w:p>
      <w:pPr>
        <w:pStyle w:val="ListNumber"/>
      </w:pPr>
      <w:r>
        <w:t>تقرير السياسة الشهري لمجلس الأمن، أبريل 2026 — securitycouncilreport.org.</w:t>
      </w:r>
    </w:p>
    <w:p>
      <w:pPr>
        <w:pStyle w:val="ListNumber"/>
      </w:pPr>
      <w:r>
        <w:t>هيومن رايتس ووتش، «الأمم المتحدة: حق الشعب الصحراوي في تقرير المصير مهدد»، 25 مارس 2026.</w:t>
      </w:r>
    </w:p>
    <w:p>
      <w:pPr>
        <w:pStyle w:val="ListNumber"/>
      </w:pPr>
      <w:r>
        <w:t>Modern Diplomacy, "The Fall of the Polisario", 30 octobre 2025.</w:t>
      </w:r>
    </w:p>
    <w:p>
      <w:pPr>
        <w:pStyle w:val="ListNumber"/>
      </w:pPr>
      <w:r>
        <w:t>Africa at LSE, "Diplomatic realism is ending a post-colonial stalemate in Western Sahara", 10 février 2026.</w:t>
      </w:r>
    </w:p>
    <w:p>
      <w:pPr>
        <w:pStyle w:val="ListNumber"/>
      </w:pPr>
      <w:r>
        <w:t>Atalayar, "Polisario Front and Algeria reject US resolution on Western Sahara", 27 octobre 2025.</w:t>
      </w:r>
    </w:p>
    <w:p>
      <w:pPr>
        <w:pStyle w:val="ListNumber"/>
      </w:pPr>
      <w:r>
        <w:t>Morocco World News, "Morocco, Algeria, and Polisario to Hold US-Backed Talks in Madrid", février 2026.</w:t>
      </w:r>
    </w:p>
    <w:p>
      <w:pPr>
        <w:pStyle w:val="ListNumber"/>
      </w:pPr>
      <w:r>
        <w:t>UK House of Commons Library, "Western Sahara" research briefing.</w:t>
      </w:r>
    </w:p>
    <w:p>
      <w:pPr>
        <w:pStyle w:val="ListNumber"/>
      </w:pPr>
      <w:r>
        <w:t>CDA Collaborative Learning, "Reflecting on Peace Practice (RPP) — From Theory to Practice", manuel SweFOR.</w:t>
      </w:r>
    </w:p>
    <w:p>
      <w:pPr>
        <w:pStyle w:val="ListNumber"/>
      </w:pPr>
      <w:r>
        <w:t>USIP, "Synergizing Nonviolent Action and Peacebuilding (SNAP)", 2018.</w:t>
      </w:r>
    </w:p>
    <w:p>
      <w:pPr>
        <w:pStyle w:val="ListNumber"/>
      </w:pPr>
      <w:r>
        <w:t>Tony Hodges, "Western Sahara: The Roots of a Desert War", Lawrence Hill Books, 1983.</w:t>
      </w:r>
    </w:p>
    <w:p>
      <w:pPr>
        <w:pStyle w:val="ListNumber"/>
      </w:pPr>
      <w:r>
        <w:t>Adam Curle, "Making Peace", Tavistock Publications, 1971.</w:t>
      </w:r>
    </w:p>
    <w:p>
      <w:pPr>
        <w:pStyle w:val="ListNumber"/>
      </w:pPr>
      <w:r>
        <w:t>تجربة هيئة الإنصاف والمصالحة (المغرب، 2004-2005).</w:t>
      </w:r>
    </w:p>
    <w:p>
      <w:pPr>
        <w:pStyle w:val="ListNumber"/>
      </w:pPr>
      <w:r>
        <w:t>شهادات وملاحظات مسجّلة خلال ورشات شبكة سويفور (2018-2026)، ومنها الورشة الختامية لماي 2026.</w:t>
      </w:r>
    </w:p>
    <w:p>
      <w:r>
        <w:rPr>
          <w:b/>
        </w:rPr>
        <w:t>صِلَة</w:t>
      </w:r>
      <w:r>
        <w:t xml:space="preserve"> — وثيقة استراتيجية</w:t>
      </w:r>
    </w:p>
    <w:p>
      <w:r>
        <w:t>محمد بوساد · بثينة بنحميدة · كنزة صمود · سليمان الميموني</w:t>
      </w:r>
    </w:p>
    <w:p>
      <w:r>
        <w:t>الميسر: نبيل بحار · ماي 2026</w:t>
      </w:r>
    </w:p>
    <w:p>
      <w:r>
        <w:t>Available in: العربية · Français · English · Español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Sila — وثيقة استراتيجية</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