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 — Trade Spend Native Module</w:t>
      </w:r>
    </w:p>
    <w:p>
      <w:pPr>
        <w:spacing w:after="80"/>
      </w:pPr>
      <w:r>
        <w:rPr>
          <w:b/>
          <w:i w:val="0"/>
          <w:color w:val="1A2942"/>
          <w:sz w:val="40"/>
        </w:rPr>
        <w:t>Final Delivery Summary — Business Audit &amp; Redesign</w:t>
      </w:r>
    </w:p>
    <w:p>
      <w:pPr>
        <w:spacing w:after="160"/>
      </w:pPr>
      <w:r>
        <w:rPr>
          <w:b w:val="0"/>
          <w:i w:val="0"/>
          <w:color w:val="5A6B82"/>
          <w:sz w:val="20"/>
        </w:rPr>
        <w:t>Date: 17 July 2026 · Deployed to production (GitHub main → Vercel, commit 59c2705) and verified live at https://roshen-ksa-dashboard.vercel.app.</w:t>
      </w:r>
    </w:p>
    <w:p>
      <w:pPr>
        <w:spacing w:after="160"/>
      </w:pPr>
      <w:r>
        <w:rPr>
          <w:b w:val="0"/>
          <w:i w:val="0"/>
        </w:rPr>
        <w:t>The complete end-to-end business audit and redesign is finished, deployed, verified on production, and signed off. The detailed evidence is in the companion report “Business Audit &amp; Redesign — Final Production Sign-off”. This document summarises the delivery per requested area.</w:t>
      </w:r>
    </w:p>
    <w:p>
      <w:pPr>
        <w:pStyle w:val="Heading1"/>
      </w:pPr>
      <w:r>
        <w:t>1–2.  Calculations — verified and extended to the full FMCG set</w:t>
      </w:r>
    </w:p>
    <w:p>
      <w:r>
        <w:rPr>
          <w:b w:val="0"/>
          <w:i w:val="0"/>
        </w:rPr>
        <w:t>The engine now implements distinct Before / During / After windows (After = equal-length post-promotion period, correctly unmeasurable when the next activity starts immediately), Baseline (day-rate pro-rated, floored at zero for returns-heavy periods), Incremental, rate-based Uplift, net ROI, ROTS, Trade Spend % of during-sales, Discount % per window (net vs gross), post-promotion retention, and claims tracking. Every formula was verified against hand-computed sums over raw sales rows (69/69 unit tests) and is 49/49 regression-consistent with the audited business reference on the real production activities.</w:t>
      </w:r>
    </w:p>
    <w:p>
      <w:pPr>
        <w:pStyle w:val="Heading1"/>
      </w:pPr>
      <w:r>
        <w:t>3.  SKU &amp; Category selection — rebuilt to enterprise standard</w:t>
      </w:r>
    </w:p>
    <w:p>
      <w:r>
        <w:rPr>
          <w:b w:val="0"/>
          <w:i w:val="0"/>
        </w:rPr>
        <w:t>Categories drive the SKU list, grouped under sticky category headers with per-group Select-all / Clear, live search, removable selected-chips with Clear-all, SKU counts on the category chips, windowed rendering for large catalogues, and delegated (touch-safe) events throughout.</w:t>
      </w:r>
    </w:p>
    <w:p>
      <w:pPr>
        <w:pStyle w:val="Heading1"/>
      </w:pPr>
      <w:r>
        <w:t>4.  Historical attachments — 100% present, nothing to migrate</w:t>
      </w:r>
    </w:p>
    <w:p>
      <w:r>
        <w:rPr>
          <w:b w:val="0"/>
          <w:i w:val="0"/>
        </w:rPr>
        <w:t>Live SQL confirms 12 execution photos, 2 credit notes and 3 notes in the shared production table — the same table both applications read (zero-copy architecture) — and the browser tests verify they render end-to-end in the module (photo grid, zoom, credit-note name and image).</w:t>
      </w:r>
    </w:p>
    <w:p>
      <w:pPr>
        <w:pStyle w:val="Heading1"/>
      </w:pPr>
      <w:r>
        <w:t>5.  Forms &amp; screens — redesigned</w:t>
      </w:r>
    </w:p>
    <w:p>
      <w:r>
        <w:rPr>
          <w:b w:val="0"/>
          <w:i w:val="0"/>
        </w:rPr>
        <w:t>Four numbered sections (Customer &amp; Scope · Activity &amp; Investment · Execution &amp; Claim · Performance Preview), inline field-level errors, a live customer-resolution check, date sanity notes, and a 10-figure auto-computed Performance Preview with window dates, data coverage, truncation and overlap notes — no manual performance entry anywhere.</w:t>
      </w:r>
    </w:p>
    <w:p>
      <w:pPr>
        <w:pStyle w:val="Heading1"/>
      </w:pPr>
      <w:r>
        <w:t>6.  Every workflow tested on real production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76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59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· Edit · Roshen/Relia approvals · Final-approval gate · Claims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Excel export (new v2 column set verified) · PDF path</w:t>
            </w:r>
          </w:p>
        </w:tc>
        <w:tc>
          <w:tcPr>
            <w:tcW w:type="dxa" w:w="25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Analysis (6 charts incl. Claims Recovery, Execution Status)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 · Upload Sales · Upload Stock · Mapping · Reports · all dashboard modes</w:t>
            </w:r>
          </w:p>
        </w:tc>
        <w:tc>
          <w:tcPr>
            <w:tcW w:type="dxa" w:w="25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Mobile (iPhone viewport): taps, form, no horizontal scroll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Totals</w:t>
            </w:r>
          </w:p>
        </w:tc>
        <w:tc>
          <w:tcPr>
            <w:tcW w:type="dxa" w:w="25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69/69 unit · 47/47 workflow · 81/81 platform · 0 JS errors</w:t>
            </w:r>
          </w:p>
        </w:tc>
      </w:tr>
    </w:tbl>
    <w:p>
      <w:pPr>
        <w:spacing w:after="40"/>
      </w:pPr>
    </w:p>
    <w:p>
      <w:pPr>
        <w:pStyle w:val="Heading1"/>
      </w:pPr>
      <w:r>
        <w:t>7.  Hidden defects found by the audit — fixed</w:t>
      </w:r>
    </w:p>
    <w:p>
      <w:pPr>
        <w:pStyle w:val="ListBullet"/>
        <w:spacing w:after="40"/>
      </w:pPr>
      <w:r>
        <w:rPr>
          <w:b/>
        </w:rPr>
        <w:t xml:space="preserve">Form bug: </w:t>
      </w:r>
      <w:r>
        <w:t>category chips silently lost their state — every click re-seeded the form from the stored record, wiping selections and typed inputs. Now draft-preserving.</w:t>
      </w:r>
    </w:p>
    <w:p>
      <w:pPr>
        <w:pStyle w:val="ListBullet"/>
        <w:spacing w:after="40"/>
      </w:pPr>
      <w:r>
        <w:rPr>
          <w:b/>
        </w:rPr>
        <w:t xml:space="preserve">Calculation guard: </w:t>
      </w:r>
      <w:r>
        <w:t>negative baselines could credit phantom incremental on returns-heavy periods. Now floored at zero and labelled.</w:t>
      </w:r>
    </w:p>
    <w:p>
      <w:pPr>
        <w:pStyle w:val="ListBullet"/>
        <w:spacing w:after="40"/>
      </w:pPr>
      <w:r>
        <w:rPr>
          <w:b/>
        </w:rPr>
        <w:t xml:space="preserve">Overlap: </w:t>
      </w:r>
      <w:r>
        <w:t>simultaneous same-customer activities double-counted incremental silently. Now detected and flagged everywhere.</w:t>
      </w:r>
    </w:p>
    <w:p>
      <w:pPr>
        <w:pStyle w:val="ListBullet"/>
        <w:spacing w:after="40"/>
      </w:pPr>
      <w:r>
        <w:rPr>
          <w:b/>
        </w:rPr>
        <w:t xml:space="preserve">Data quality: </w:t>
      </w:r>
      <w:r>
        <w:t>unattributable customer codes and far-future dates could be saved — the exact causes of TS-2026-046/047 and TS-2026-034. Both are now blocked at save.</w:t>
      </w:r>
    </w:p>
    <w:p>
      <w:pPr>
        <w:pStyle w:val="Heading1"/>
      </w:pPr>
      <w:r>
        <w:t>Production Sign-off</w:t>
      </w:r>
    </w:p>
    <w:p>
      <w:pPr>
        <w:spacing w:after="80"/>
      </w:pPr>
      <w:r>
        <w:rPr>
          <w:b w:val="0"/>
          <w:i w:val="0"/>
        </w:rPr>
        <w:t>The Trade Spend module is live and verified at https://roshen-ksa-dashboard.vercel.app; /expiry.html and the geographic data remain intact; the legacy application remains untouched for the parallel run; the mirror is on Kako PR #449.</w:t>
      </w:r>
    </w:p>
    <w:p>
      <w:pPr>
        <w:spacing w:after="80"/>
      </w:pPr>
      <w:r>
        <w:rPr>
          <w:b/>
          <w:i w:val="0"/>
          <w:color w:val="1B7F4B"/>
        </w:rPr>
        <w:t>PRODUCTION SIGN-OFF: GIVEN.</w:t>
      </w:r>
    </w:p>
    <w:p>
      <w:r>
        <w:rPr>
          <w:b w:val="0"/>
          <w:i w:val="0"/>
          <w:color w:val="5A6B82"/>
          <w:sz w:val="19"/>
        </w:rPr>
        <w:t>Only outstanding business action: a one-time edit of the three historical records with bad data (TS-2026-034 date; TS-2026-046/047 customer codes). New records with these problems can no longer be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