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Admin Workbench Program — Review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Admin Workbench Program — Review Package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</w:t>
      </w:r>
    </w:p>
    <w:p>
      <w:r>
        <w:t xml:space="preserve">This package covers the current state of the Admin Workbench post-migration sequence: (1) Navigation Tree preview validation, (2) EntityActionBar review, and the supporting CI/migration resolution. All work is </w:t>
      </w:r>
      <w:r>
        <w:rPr>
          <w:b/>
        </w:rPr>
        <w:t>UX-standardization only</w:t>
      </w:r>
      <w:r>
        <w:t xml:space="preserve"> — it reuses existing components and server actions and introduces </w:t>
      </w:r>
      <w:r>
        <w:rPr>
          <w:b/>
        </w:rPr>
        <w:t>no business-logic, permission, RLS, or workflow change</w:t>
      </w:r>
      <w:r>
        <w:t>.</w:t>
      </w:r>
    </w:p>
    <w:p>
      <w:pPr>
        <w:pStyle w:val="Heading2"/>
      </w:pPr>
      <w:r>
        <w:rPr>
          <w:color w:val="1F497D"/>
        </w:rPr>
        <w:t>1. Status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t>Navigation Tree (item 1)</w:t>
            </w:r>
          </w:p>
        </w:tc>
        <w:tc>
          <w:tcPr>
            <w:tcW w:type="dxa" w:w="4320"/>
          </w:tcPr>
          <w:p>
            <w:r>
              <w:t xml:space="preserve">Implemented · default-OFF · </w:t>
            </w:r>
            <w:r>
              <w:rPr>
                <w:rFonts w:ascii="Consolas" w:hAnsi="Consolas"/>
                <w:sz w:val="19"/>
              </w:rPr>
              <w:t>KAKO_ADMIN_NAV_TREE</w:t>
            </w:r>
            <w:r>
              <w:t xml:space="preserve"> enabled on </w:t>
            </w:r>
            <w:r>
              <w:rPr>
                <w:b/>
              </w:rPr>
              <w:t>Preview</w:t>
            </w:r>
            <w:r>
              <w:t xml:space="preserve"> for live review</w:t>
            </w:r>
          </w:p>
        </w:tc>
      </w:tr>
      <w:tr>
        <w:tc>
          <w:tcPr>
            <w:tcW w:type="dxa" w:w="4320"/>
          </w:tcPr>
          <w:p>
            <w:r>
              <w:t>EntityActionBar (item 2)</w:t>
            </w:r>
          </w:p>
        </w:tc>
        <w:tc>
          <w:tcPr>
            <w:tcW w:type="dxa" w:w="4320"/>
          </w:tcPr>
          <w:p>
            <w:r>
              <w:t>Implemented · validated (tsc · 1592 tests · build) · staged for review</w:t>
            </w:r>
          </w:p>
        </w:tc>
      </w:tr>
      <w:tr>
        <w:tc>
          <w:tcPr>
            <w:tcW w:type="dxa" w:w="4320"/>
          </w:tcPr>
          <w:p>
            <w:r>
              <w:t>Favorites (item 3)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 started</w:t>
            </w:r>
            <w:r>
              <w:t xml:space="preserve"> — held until EntityActionBar is reviewed</w:t>
            </w:r>
          </w:p>
        </w:tc>
      </w:tr>
      <w:tr>
        <w:tc>
          <w:tcPr>
            <w:tcW w:type="dxa" w:w="4320"/>
          </w:tcPr>
          <w:p>
            <w:r>
              <w:t>Quick Create (item 4)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 started</w:t>
            </w:r>
            <w:r>
              <w:t xml:space="preserve"> — held until EntityActionBar is reviewed</w:t>
            </w:r>
          </w:p>
        </w:tc>
      </w:tr>
      <w:tr>
        <w:tc>
          <w:tcPr>
            <w:tcW w:type="dxa" w:w="4320"/>
          </w:tcPr>
          <w:p>
            <w:r>
              <w:t>0336 CI blocker</w:t>
            </w:r>
          </w:p>
        </w:tc>
        <w:tc>
          <w:tcPr>
            <w:tcW w:type="dxa" w:w="4320"/>
          </w:tcPr>
          <w:p>
            <w:r>
              <w:t>Resolved — fix kept canonical in PR #318 (merged); #319 rebased</w:t>
            </w:r>
          </w:p>
        </w:tc>
      </w:tr>
    </w:tbl>
    <w:p/>
    <w:p>
      <w:pPr>
        <w:pStyle w:val="Heading2"/>
      </w:pPr>
      <w:r>
        <w:rPr>
          <w:color w:val="1F497D"/>
        </w:rPr>
        <w:t>2. Navigation Tree — Preview validation &amp; walkthrough</w:t>
      </w:r>
    </w:p>
    <w:p>
      <w:r>
        <w:t xml:space="preserve">The tree lives at </w:t>
      </w:r>
      <w:r>
        <w:rPr>
          <w:rFonts w:ascii="Consolas" w:hAnsi="Consolas"/>
          <w:sz w:val="19"/>
        </w:rPr>
        <w:t>/admin</w:t>
      </w:r>
      <w:r>
        <w:t xml:space="preserve">, gated by </w:t>
      </w:r>
      <w:r>
        <w:rPr>
          <w:rFonts w:ascii="Consolas" w:hAnsi="Consolas"/>
          <w:sz w:val="19"/>
        </w:rPr>
        <w:t>KAKO_ADMIN_NAV_TREE</w:t>
      </w:r>
      <w:r>
        <w:t xml:space="preserve"> (default OFF). It is a persistent, lazy, searchable, role-aware tree across admin entity types; selecting a node opens that entity's existing Workbench (URL-addressable). It reuses existing loaders and workbench URLs — no new data model, no logic change.</w:t>
      </w:r>
    </w:p>
    <w:p>
      <w:r>
        <w:rPr>
          <w:b/>
        </w:rPr>
        <w:t>Preview URL:</w:t>
      </w:r>
      <w:r>
        <w:t xml:space="preserve"> </w:t>
      </w:r>
      <w:r>
        <w:rPr>
          <w:rFonts w:ascii="Consolas" w:hAnsi="Consolas"/>
          <w:sz w:val="19"/>
        </w:rPr>
        <w:t>https://kako-git-claude-pilot-ux-123456789-s-projects.vercel.app/admin</w:t>
      </w:r>
    </w:p>
    <w:p>
      <w:r>
        <w:t>(Sign in as platform-owner / super-admin to see all groups. Production stays OFF.)</w:t>
      </w:r>
    </w:p>
    <w:p>
      <w:pPr>
        <w:pStyle w:val="Heading3"/>
      </w:pPr>
      <w:r>
        <w:t>2.1 Per-entity walkthrough (capture points)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Expand loads (lazy)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Click a node opens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2160"/>
          </w:tcPr>
          <w:p>
            <w:r>
              <w:t>Companies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loadCompaniesList</w:t>
            </w:r>
            <w:r>
              <w:t xml:space="preserve"> (platform </w:t>
            </w:r>
            <w:r>
              <w:rPr>
                <w:rFonts w:ascii="Consolas" w:hAnsi="Consolas"/>
                <w:sz w:val="19"/>
              </w:rPr>
              <w:t>view_companies</w:t>
            </w:r>
            <w:r>
              <w:t>)</w:t>
            </w:r>
          </w:p>
        </w:tc>
        <w:tc>
          <w:tcPr>
            <w:tcW w:type="dxa" w:w="2160"/>
          </w:tcPr>
          <w:p>
            <w:r>
              <w:t>Company360 in Companies Workbench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/platform/companies?id=&lt;id&gt;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erp_scoped_members</w:t>
            </w:r>
            <w:r>
              <w:t xml:space="preserve"> (super-admin)</w:t>
            </w:r>
          </w:p>
        </w:tc>
        <w:tc>
          <w:tcPr>
            <w:tcW w:type="dxa" w:w="2160"/>
          </w:tcPr>
          <w:p>
            <w:r>
              <w:t>Users Workbench, that user selected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/settings/users?id=&lt;id&gt;</w:t>
            </w:r>
          </w:p>
        </w:tc>
      </w:tr>
      <w:tr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company / system roles (company admin)</w:t>
            </w:r>
          </w:p>
        </w:tc>
        <w:tc>
          <w:tcPr>
            <w:tcW w:type="dxa" w:w="2160"/>
          </w:tcPr>
          <w:p>
            <w:r>
              <w:t>Roles Workbench, that role selected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/settings/authz?id=&lt;role&gt;</w:t>
            </w:r>
          </w:p>
        </w:tc>
      </w:tr>
      <w:tr>
        <w:tc>
          <w:tcPr>
            <w:tcW w:type="dxa" w:w="2160"/>
          </w:tcPr>
          <w:p>
            <w:r>
              <w:t>Branches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erp_branches</w:t>
            </w:r>
            <w:r>
              <w:t xml:space="preserve"> (settings.branches)</w:t>
            </w:r>
          </w:p>
        </w:tc>
        <w:tc>
          <w:tcPr>
            <w:tcW w:type="dxa" w:w="2160"/>
          </w:tcPr>
          <w:p>
            <w:r>
              <w:t>Branches Workbench, that branch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/settings/branches?id=&lt;id&gt;</w:t>
            </w:r>
          </w:p>
        </w:tc>
      </w:tr>
      <w:tr>
        <w:tc>
          <w:tcPr>
            <w:tcW w:type="dxa" w:w="2160"/>
          </w:tcPr>
          <w:p>
            <w:r>
              <w:t>Features</w:t>
            </w:r>
          </w:p>
        </w:tc>
        <w:tc>
          <w:tcPr>
            <w:tcW w:type="dxa" w:w="2160"/>
          </w:tcPr>
          <w:p>
            <w:r>
              <w:t>the 5 capability domains (company admin)</w:t>
            </w:r>
          </w:p>
        </w:tc>
        <w:tc>
          <w:tcPr>
            <w:tcW w:type="dxa" w:w="2160"/>
          </w:tcPr>
          <w:p>
            <w:r>
              <w:t>Features Workbench, that domain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/settings/features?id=&lt;domain&gt;</w:t>
            </w:r>
          </w:p>
        </w:tc>
      </w:tr>
    </w:tbl>
    <w:p/>
    <w:p>
      <w:pPr>
        <w:pStyle w:val="Heading3"/>
      </w:pPr>
      <w:r>
        <w:t>2.2 The five validation checks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No duplicate navigation layers</w:t>
            </w:r>
          </w:p>
        </w:tc>
        <w:tc>
          <w:tcPr>
            <w:tcW w:type="dxa" w:w="4320"/>
          </w:tcPr>
          <w:p>
            <w:r>
              <w:t>PASS — Model B navigates away to the workbench; only the existing global sidebar (modules) sits alongside the entity tree. No tree-over-list duplication.</w:t>
            </w:r>
          </w:p>
        </w:tc>
      </w:tr>
      <w:tr>
        <w:tc>
          <w:tcPr>
            <w:tcW w:type="dxa" w:w="4320"/>
          </w:tcPr>
          <w:p>
            <w:r>
              <w:t>No navigation dead ends</w:t>
            </w:r>
          </w:p>
        </w:tc>
        <w:tc>
          <w:tcPr>
            <w:tcW w:type="dxa" w:w="4320"/>
          </w:tcPr>
          <w:p>
            <w:r>
              <w:t>PASS — every node links to a valid workbench URL; empty branches show "—", not a blank state.</w:t>
            </w:r>
          </w:p>
        </w:tc>
      </w:tr>
      <w:tr>
        <w:tc>
          <w:tcPr>
            <w:tcW w:type="dxa" w:w="4320"/>
          </w:tcPr>
          <w:p>
            <w:r>
              <w:t>Active-node highlighting</w:t>
            </w:r>
          </w:p>
        </w:tc>
        <w:tc>
          <w:tcPr>
            <w:tcW w:type="dxa" w:w="4320"/>
          </w:tcPr>
          <w:p>
            <w:r>
              <w:t>IMPLEMENTED (URL-</w:t>
            </w:r>
            <w:r>
              <w:rPr>
                <w:rFonts w:ascii="Consolas" w:hAnsi="Consolas"/>
                <w:sz w:val="19"/>
              </w:rPr>
              <w:t>id</w:t>
            </w:r>
            <w:r>
              <w:t xml:space="preserve"> based), but </w:t>
            </w:r>
            <w:r>
              <w:rPr>
                <w:b/>
              </w:rPr>
              <w:t>dormant in Model B</w:t>
            </w:r>
            <w:r>
              <w:t xml:space="preserve"> — the tree isn't on-screen beside the opened entity. It only lights up in the embedded </w:t>
            </w:r>
            <w:r>
              <w:rPr>
                <w:rFonts w:ascii="Consolas" w:hAnsi="Consolas"/>
                <w:sz w:val="19"/>
              </w:rPr>
              <w:t>/admin</w:t>
            </w:r>
            <w:r>
              <w:t xml:space="preserve"> shell (the approved evaluate-later step).</w:t>
            </w:r>
          </w:p>
        </w:tc>
      </w:tr>
      <w:tr>
        <w:tc>
          <w:tcPr>
            <w:tcW w:type="dxa" w:w="4320"/>
          </w:tcPr>
          <w:p>
            <w:r>
              <w:t>Role-aware visibility</w:t>
            </w:r>
          </w:p>
        </w:tc>
        <w:tc>
          <w:tcPr>
            <w:tcW w:type="dxa" w:w="4320"/>
          </w:tcPr>
          <w:p>
            <w:r>
              <w:t xml:space="preserve">PASS — </w:t>
            </w:r>
            <w:r>
              <w:rPr>
                <w:rFonts w:ascii="Consolas" w:hAnsi="Consolas"/>
                <w:sz w:val="19"/>
              </w:rPr>
              <w:t>allowedTypes</w:t>
            </w:r>
            <w:r>
              <w:t xml:space="preserve"> computed server-side mirroring each workbench's gate; </w:t>
            </w:r>
            <w:r>
              <w:rPr>
                <w:rFonts w:ascii="Consolas" w:hAnsi="Consolas"/>
                <w:sz w:val="19"/>
              </w:rPr>
              <w:t>loadNavBranch</w:t>
            </w:r>
            <w:r>
              <w:t xml:space="preserve"> re-checks per type; on top of RLS. A company admin sees no Companies group.</w:t>
            </w:r>
          </w:p>
        </w:tc>
      </w:tr>
      <w:tr>
        <w:tc>
          <w:tcPr>
            <w:tcW w:type="dxa" w:w="4320"/>
          </w:tcPr>
          <w:p>
            <w:r>
              <w:t>Performance (large data)</w:t>
            </w:r>
          </w:p>
        </w:tc>
        <w:tc>
          <w:tcPr>
            <w:tcW w:type="dxa" w:w="4320"/>
          </w:tcPr>
          <w:p>
            <w:r>
              <w:t>PASS — branches load lazily on expand (one cached query); rendered lists capped at 300 rows with a refine-search hint (windowing-ready).</w:t>
            </w:r>
          </w:p>
        </w:tc>
      </w:tr>
    </w:tbl>
    <w:p/>
    <w:p>
      <w:pPr>
        <w:pStyle w:val="Heading3"/>
      </w:pPr>
      <w:r>
        <w:t>2.3 Promotion</w:t>
      </w:r>
    </w:p>
    <w:p>
      <w:r>
        <w:t xml:space="preserve">If the preview passes usability, navigation, permission, and performance review, promote by setting </w:t>
      </w:r>
      <w:r>
        <w:rPr>
          <w:rFonts w:ascii="Consolas" w:hAnsi="Consolas"/>
          <w:sz w:val="19"/>
        </w:rPr>
        <w:t>KAKO_ADMIN_NAV_TREE=1</w:t>
      </w:r>
      <w:r>
        <w:t xml:space="preserve"> beyond Preview. </w:t>
      </w:r>
      <w:r>
        <w:rPr>
          <w:b/>
        </w:rPr>
        <w:t>Rollback</w:t>
      </w:r>
      <w:r>
        <w:t xml:space="preserve"> is instant and config-only: unset/zero the flag — no code change, no migration, the route reverts to redirecting to </w:t>
      </w:r>
      <w:r>
        <w:rPr>
          <w:rFonts w:ascii="Consolas" w:hAnsi="Consolas"/>
          <w:sz w:val="19"/>
        </w:rPr>
        <w:t>/settings</w:t>
      </w:r>
      <w:r>
        <w:t>.</w:t>
      </w:r>
    </w:p>
    <w:p>
      <w:pPr>
        <w:pStyle w:val="Heading2"/>
      </w:pPr>
      <w:r>
        <w:rPr>
          <w:color w:val="1F497D"/>
        </w:rPr>
        <w:t>3. EntityActionBar — review package</w:t>
      </w:r>
    </w:p>
    <w:p>
      <w:pPr>
        <w:pStyle w:val="Heading3"/>
      </w:pPr>
      <w:r>
        <w:t>3.1 What it is</w:t>
      </w:r>
    </w:p>
    <w:p>
      <w:r>
        <w:rPr>
          <w:rFonts w:ascii="Consolas" w:hAnsi="Consolas"/>
          <w:sz w:val="19"/>
        </w:rPr>
        <w:t>src/components/admin/entity-action-bar.tsx</w:t>
      </w:r>
      <w:r>
        <w:t xml:space="preserve"> — one consistent, contextual, permission-aware action area for every admin entity. Primary actions render inline; the rest collapse into an overflow menu. </w:t>
      </w:r>
      <w:r>
        <w:rPr>
          <w:b/>
        </w:rPr>
        <w:t>The component adds no business logic of its own</w:t>
      </w:r>
      <w:r>
        <w:t xml:space="preserve"> — callers pass </w:t>
      </w:r>
      <w:r>
        <w:rPr>
          <w:rFonts w:ascii="Consolas" w:hAnsi="Consolas"/>
          <w:sz w:val="19"/>
        </w:rPr>
        <w:t>hidden</w:t>
      </w:r>
      <w:r>
        <w:t xml:space="preserve"> based on existing permissions and wire </w:t>
      </w:r>
      <w:r>
        <w:rPr>
          <w:rFonts w:ascii="Consolas" w:hAnsi="Consolas"/>
          <w:sz w:val="19"/>
        </w:rPr>
        <w:t>run</w:t>
      </w:r>
      <w:r>
        <w:t xml:space="preserve"> to </w:t>
      </w:r>
      <w:r>
        <w:rPr>
          <w:b/>
        </w:rPr>
        <w:t>existing</w:t>
      </w:r>
      <w:r>
        <w:t xml:space="preserve"> actions.</w:t>
      </w:r>
    </w:p>
    <w:p>
      <w:pPr>
        <w:ind w:left="240"/>
      </w:pPr>
      <w:r>
        <w:rPr>
          <w:rFonts w:ascii="Consolas" w:hAnsi="Consolas"/>
          <w:sz w:val="18"/>
        </w:rPr>
        <w:t>export interface EntityAction {</w:t>
        <w:br/>
        <w:t xml:space="preserve">  key: string; label: string; icon?: ReactNode;</w:t>
        <w:br/>
        <w:t xml:space="preserve">  run: () =&gt; void;       // wired to an EXISTING action</w:t>
        <w:br/>
        <w:t xml:space="preserve">  hidden?: boolean;      // permission-aware: omit when not allowed</w:t>
        <w:br/>
        <w:t xml:space="preserve">  disabled?: boolean;</w:t>
        <w:br/>
        <w:t xml:space="preserve">  destructive?: boolean;</w:t>
        <w:br/>
        <w:t xml:space="preserve">  overflow?: boolean;    // inline (default) vs. overflow menu</w:t>
        <w:br/>
        <w:t>}</w:t>
      </w:r>
    </w:p>
    <w:p>
      <w:pPr>
        <w:pStyle w:val="Heading3"/>
      </w:pPr>
      <w:r>
        <w:t>3.2 Reference wiring — Users Workbench</w:t>
      </w:r>
    </w:p>
    <w:p>
      <w:r>
        <w:t xml:space="preserve">The Users module is the reference integration. It replaces the bespoke header buttons with an </w:t>
      </w:r>
      <w:r>
        <w:rPr>
          <w:rFonts w:ascii="Consolas" w:hAnsi="Consolas"/>
          <w:sz w:val="19"/>
        </w:rPr>
        <w:t>EntityActionBar</w:t>
      </w:r>
      <w:r>
        <w:t xml:space="preserve"> that reuses the existing </w:t>
      </w:r>
      <w:r>
        <w:rPr>
          <w:rFonts w:ascii="Consolas" w:hAnsi="Consolas"/>
          <w:sz w:val="19"/>
        </w:rPr>
        <w:t>setUserFlags</w:t>
      </w:r>
      <w:r>
        <w:t xml:space="preserve"> action (via </w:t>
      </w:r>
      <w:r>
        <w:rPr>
          <w:rFonts w:ascii="Consolas" w:hAnsi="Consolas"/>
          <w:sz w:val="19"/>
        </w:rPr>
        <w:t>toggleFlag</w:t>
      </w:r>
      <w:r>
        <w:t>):</w:t>
      </w:r>
    </w:p>
    <w:p>
      <w:pPr>
        <w:pStyle w:val="ListBullet"/>
      </w:pPr>
      <w:r>
        <w:rPr>
          <w:b/>
        </w:rPr>
        <w:t>Set / Revoke Super Admin</w:t>
      </w:r>
      <w:r>
        <w:t xml:space="preserve"> — </w:t>
      </w:r>
      <w:r>
        <w:rPr>
          <w:rFonts w:ascii="Consolas" w:hAnsi="Consolas"/>
          <w:sz w:val="19"/>
        </w:rPr>
        <w:t>run: toggleFlag({ is_super_admin: !... })</w:t>
      </w:r>
      <w:r>
        <w:t xml:space="preserve">; </w:t>
      </w:r>
      <w:r>
        <w:rPr>
          <w:rFonts w:ascii="Consolas" w:hAnsi="Consolas"/>
          <w:sz w:val="19"/>
        </w:rPr>
        <w:t>hidden</w:t>
      </w:r>
      <w:r>
        <w:t xml:space="preserve"> when acting on self.</w:t>
      </w:r>
    </w:p>
    <w:p>
      <w:pPr>
        <w:pStyle w:val="ListBullet"/>
      </w:pPr>
      <w:r>
        <w:rPr>
          <w:b/>
        </w:rPr>
        <w:t>Activate / Deactivate</w:t>
      </w:r>
      <w:r>
        <w:t xml:space="preserve"> — </w:t>
      </w:r>
      <w:r>
        <w:rPr>
          <w:rFonts w:ascii="Consolas" w:hAnsi="Consolas"/>
          <w:sz w:val="19"/>
        </w:rPr>
        <w:t>run: toggleFlag({ is_active: !... })</w:t>
      </w:r>
      <w:r>
        <w:t xml:space="preserve">; </w:t>
      </w:r>
      <w:r>
        <w:rPr>
          <w:rFonts w:ascii="Consolas" w:hAnsi="Consolas"/>
          <w:sz w:val="19"/>
        </w:rPr>
        <w:t>hidden</w:t>
      </w:r>
      <w:r>
        <w:t xml:space="preserve"> on self; </w:t>
      </w:r>
      <w:r>
        <w:rPr>
          <w:rFonts w:ascii="Consolas" w:hAnsi="Consolas"/>
          <w:sz w:val="19"/>
        </w:rPr>
        <w:t>destructive</w:t>
      </w:r>
      <w:r>
        <w:t xml:space="preserve"> + </w:t>
      </w:r>
      <w:r>
        <w:rPr>
          <w:rFonts w:ascii="Consolas" w:hAnsi="Consolas"/>
          <w:sz w:val="19"/>
        </w:rPr>
        <w:t>overflow</w:t>
      </w:r>
      <w:r>
        <w:t xml:space="preserve"> when deactivating.</w:t>
      </w:r>
    </w:p>
    <w:p>
      <w:r>
        <w:t>No new action, no permission/RLS/workflow change — identical behavior, standardized presentation.</w:t>
      </w:r>
    </w:p>
    <w:p>
      <w:pPr>
        <w:pStyle w:val="Heading3"/>
      </w:pPr>
      <w:r>
        <w:t>3.3 Example actions: in-scope (reuse) vs. out-of-scope (would need new actions)</w:t>
      </w:r>
    </w:p>
    <w:p>
      <w:r>
        <w:t xml:space="preserve">The roadmap examples were illustrative. Under the </w:t>
      </w:r>
      <w:r>
        <w:rPr>
          <w:b/>
        </w:rPr>
        <w:t>reuse-only</w:t>
      </w:r>
      <w:r>
        <w:t xml:space="preserve"> constraint, only actions that already exist can be wired now: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Example action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Existing action?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Set/Revoke Super 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setUserFlags</w:t>
            </w:r>
          </w:p>
        </w:tc>
        <w:tc>
          <w:tcPr>
            <w:tcW w:type="dxa" w:w="2160"/>
          </w:tcPr>
          <w:p>
            <w:r>
              <w:t>Wired (reference)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Activate / Deactivate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setUserFlags</w:t>
            </w:r>
          </w:p>
        </w:tc>
        <w:tc>
          <w:tcPr>
            <w:tcW w:type="dxa" w:w="2160"/>
          </w:tcPr>
          <w:p>
            <w:r>
              <w:t>Wired (reference)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New User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createUser</w:t>
            </w:r>
          </w:p>
        </w:tc>
        <w:tc>
          <w:tcPr>
            <w:tcW w:type="dxa" w:w="2160"/>
          </w:tcPr>
          <w:p>
            <w:r>
              <w:t>Already in list panel (Quick Create item)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Assign Role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assignBranch</w:t>
            </w:r>
          </w:p>
        </w:tc>
        <w:tc>
          <w:tcPr>
            <w:tcW w:type="dxa" w:w="2160"/>
          </w:tcPr>
          <w:p>
            <w:r>
              <w:t>Exists in Roles/Branches tab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Reset Password</w:t>
            </w:r>
          </w:p>
        </w:tc>
        <w:tc>
          <w:tcPr>
            <w:tcW w:type="dxa" w:w="2160"/>
          </w:tcPr>
          <w:p>
            <w:r>
              <w:t>platform/companies only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 of scope</w:t>
            </w:r>
            <w:r>
              <w:t xml:space="preserve"> here — no Users-context action</w:t>
            </w:r>
          </w:p>
        </w:tc>
      </w:tr>
      <w:tr>
        <w:tc>
          <w:tcPr>
            <w:tcW w:type="dxa" w:w="2160"/>
          </w:tcPr>
          <w:p>
            <w:r>
              <w:t>Companies</w:t>
            </w:r>
          </w:p>
        </w:tc>
        <w:tc>
          <w:tcPr>
            <w:tcW w:type="dxa" w:w="2160"/>
          </w:tcPr>
          <w:p>
            <w:r>
              <w:t>Activate / Suspend / Renew / Change Plan</w:t>
            </w:r>
          </w:p>
        </w:tc>
        <w:tc>
          <w:tcPr>
            <w:tcW w:type="dxa" w:w="2160"/>
          </w:tcPr>
          <w:p>
            <w:r>
              <w:t>existing company actions</w:t>
            </w:r>
          </w:p>
        </w:tc>
        <w:tc>
          <w:tcPr>
            <w:tcW w:type="dxa" w:w="2160"/>
          </w:tcPr>
          <w:p>
            <w:r>
              <w:t>Wire in Companies bar (next, on approval)</w:t>
            </w:r>
          </w:p>
        </w:tc>
      </w:tr>
      <w:tr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New Role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createRole</w:t>
            </w:r>
          </w:p>
        </w:tc>
        <w:tc>
          <w:tcPr>
            <w:tcW w:type="dxa" w:w="2160"/>
          </w:tcPr>
          <w:p>
            <w:r>
              <w:t>Exists</w:t>
            </w:r>
          </w:p>
        </w:tc>
      </w:tr>
      <w:tr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Clone / Archive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 of scope</w:t>
            </w:r>
            <w:r>
              <w:t xml:space="preserve"> — no such action exists; would be new business logic</w:t>
            </w:r>
          </w:p>
        </w:tc>
      </w:tr>
    </w:tbl>
    <w:p/>
    <w:p>
      <w:r>
        <w:t xml:space="preserve">Items marked out of scope are </w:t>
      </w:r>
      <w:r>
        <w:rPr>
          <w:b/>
        </w:rPr>
        <w:t>not</w:t>
      </w:r>
      <w:r>
        <w:t xml:space="preserve"> implemented, to honor "reuse existing actions; no business-logic change." They are noted for a future, separately-approved workstream if desired.</w:t>
      </w:r>
    </w:p>
    <w:p>
      <w:pPr>
        <w:pStyle w:val="Heading3"/>
      </w:pPr>
      <w:r>
        <w:t>3.4 Validation</w:t>
      </w:r>
    </w:p>
    <w:p>
      <w:r>
        <w:rPr>
          <w:rFonts w:ascii="Consolas" w:hAnsi="Consolas"/>
          <w:sz w:val="19"/>
        </w:rPr>
        <w:t>tsc --noEmit</w:t>
      </w:r>
      <w:r>
        <w:t xml:space="preserve"> clean · full suite </w:t>
      </w:r>
      <w:r>
        <w:rPr>
          <w:b/>
        </w:rPr>
        <w:t>1592 passed / 192 skipped</w:t>
      </w:r>
      <w:r>
        <w:t xml:space="preserve"> · </w:t>
      </w:r>
      <w:r>
        <w:rPr>
          <w:rFonts w:ascii="Consolas" w:hAnsi="Consolas"/>
          <w:sz w:val="19"/>
        </w:rPr>
        <w:t>next build</w:t>
      </w:r>
      <w:r>
        <w:t xml:space="preserve"> green.</w:t>
      </w:r>
    </w:p>
    <w:p>
      <w:pPr>
        <w:pStyle w:val="Heading2"/>
      </w:pPr>
      <w:r>
        <w:rPr>
          <w:color w:val="1F497D"/>
        </w:rPr>
        <w:t>4. CI / migration resolution (0336)</w:t>
      </w:r>
    </w:p>
    <w:p>
      <w:r>
        <w:t xml:space="preserve">The </w:t>
      </w:r>
      <w:r>
        <w:rPr>
          <w:rFonts w:ascii="Consolas" w:hAnsi="Consolas"/>
          <w:sz w:val="19"/>
        </w:rPr>
        <w:t>Integration tests (DB)</w:t>
      </w:r>
      <w:r>
        <w:t xml:space="preserve"> job was red due to a </w:t>
      </w:r>
      <w:r>
        <w:rPr>
          <w:b/>
        </w:rPr>
        <w:t>pre-existing</w:t>
      </w:r>
      <w:r>
        <w:t xml:space="preserve"> blocker in </w:t>
      </w:r>
      <w:r>
        <w:rPr>
          <w:rFonts w:ascii="Consolas" w:hAnsi="Consolas"/>
          <w:sz w:val="19"/>
        </w:rPr>
        <w:t>0336_treasury_perm_and_settlement_sod.sql</w:t>
      </w:r>
      <w:r>
        <w:t xml:space="preserve">: it hardcodes the pilot company UUID and inserted into </w:t>
      </w:r>
      <w:r>
        <w:rPr>
          <w:rFonts w:ascii="Consolas" w:hAnsi="Consolas"/>
          <w:sz w:val="19"/>
        </w:rPr>
        <w:t>erp_company_role_permissions</w:t>
      </w:r>
      <w:r>
        <w:t xml:space="preserve">, which fails the </w:t>
      </w:r>
      <w:r>
        <w:rPr>
          <w:rFonts w:ascii="Consolas" w:hAnsi="Consolas"/>
          <w:sz w:val="19"/>
        </w:rPr>
        <w:t>company_id</w:t>
      </w:r>
      <w:r>
        <w:t xml:space="preserve"> FK on a fresh CI database (no seeded companies). This is unrelated to the EntityActionBar change (frontend-only).</w:t>
      </w:r>
    </w:p>
    <w:p>
      <w:r>
        <w:rPr>
          <w:b/>
        </w:rPr>
        <w:t>Resolution (per direction):</w:t>
      </w:r>
      <w:r>
        <w:t xml:space="preserve"> the fix stays </w:t>
      </w:r>
      <w:r>
        <w:rPr>
          <w:b/>
        </w:rPr>
        <w:t>canonical in PR #318</w:t>
      </w:r>
      <w:r>
        <w:t xml:space="preserve"> — a defensive </w:t>
      </w:r>
      <w:r>
        <w:rPr>
          <w:rFonts w:ascii="Consolas" w:hAnsi="Consolas"/>
          <w:sz w:val="19"/>
        </w:rPr>
        <w:t>where exists (select 1 from erp_companies where id = …)</w:t>
      </w:r>
      <w:r>
        <w:t xml:space="preserve"> guard that is a no-op where the company exists (staging/prod) and skips cleanly on an unseeded CI DB. It was </w:t>
      </w:r>
      <w:r>
        <w:rPr>
          <w:b/>
        </w:rPr>
        <w:t>not</w:t>
      </w:r>
      <w:r>
        <w:t xml:space="preserve"> duplicated into #319.</w:t>
      </w:r>
    </w:p>
    <w:p>
      <w:pPr>
        <w:pStyle w:val="ListBullet"/>
      </w:pPr>
      <w:r>
        <w:t xml:space="preserve">PR #318 merged to main (squash </w:t>
      </w:r>
      <w:r>
        <w:rPr>
          <w:rFonts w:ascii="Consolas" w:hAnsi="Consolas"/>
          <w:sz w:val="19"/>
        </w:rPr>
        <w:t>f8ef648</w:t>
      </w:r>
      <w:r>
        <w:t>); its CI was fully green.</w:t>
      </w:r>
    </w:p>
    <w:p>
      <w:pPr>
        <w:pStyle w:val="ListBullet"/>
      </w:pPr>
      <w:r>
        <w:t>#319 rebased onto the new main — clean, 42 commits replayed, zero conflicts.</w:t>
      </w:r>
    </w:p>
    <w:p>
      <w:pPr>
        <w:pStyle w:val="ListBullet"/>
      </w:pPr>
      <w:r>
        <w:t>#319 re-runs CI with the guard now beneath the Admin Workbench work; integration tests expected green.</w:t>
      </w:r>
    </w:p>
    <w:p>
      <w:r>
        <w:t>#319 remains focused on Admin Workbench, Navigation Tree, and EntityActionBar only.</w:t>
      </w:r>
    </w:p>
    <w:p>
      <w:pPr>
        <w:pStyle w:val="Heading2"/>
      </w:pPr>
      <w:r>
        <w:rPr>
          <w:color w:val="1F497D"/>
        </w:rPr>
        <w:t>5. Next steps</w:t>
      </w:r>
    </w:p>
    <w:p>
      <w:pPr>
        <w:pStyle w:val="ListNumber"/>
      </w:pPr>
      <w:r>
        <w:t xml:space="preserve">Complete the </w:t>
      </w:r>
      <w:r>
        <w:rPr>
          <w:b/>
        </w:rPr>
        <w:t>Navigation Tree</w:t>
      </w:r>
      <w:r>
        <w:t xml:space="preserve"> live preview review → promote the flag beyond Preview if it passes.</w:t>
      </w:r>
    </w:p>
    <w:p>
      <w:pPr>
        <w:pStyle w:val="ListNumber"/>
      </w:pPr>
      <w:r>
        <w:t xml:space="preserve">Review </w:t>
      </w:r>
      <w:r>
        <w:rPr>
          <w:b/>
        </w:rPr>
        <w:t>EntityActionBar</w:t>
      </w:r>
      <w:r>
        <w:t xml:space="preserve"> (this package) → on approval, extend it to the Companies / Roles / Branches bars using only existing actions.</w:t>
      </w:r>
    </w:p>
    <w:p>
      <w:pPr>
        <w:pStyle w:val="ListNumber"/>
      </w:pPr>
      <w:r>
        <w:t xml:space="preserve">Then proceed to </w:t>
      </w:r>
      <w:r>
        <w:rPr>
          <w:b/>
        </w:rPr>
        <w:t>Favorites</w:t>
      </w:r>
      <w:r>
        <w:t xml:space="preserve">, then </w:t>
      </w:r>
      <w:r>
        <w:rPr>
          <w:b/>
        </w:rPr>
        <w:t>Quick Create</w:t>
      </w:r>
      <w:r>
        <w:t xml:space="preserve"> — held until EntityActionBar is reviewed.</w:t>
      </w:r>
    </w:p>
    <w:p>
      <w:pPr>
        <w:pStyle w:val="ListNumber"/>
      </w:pPr>
      <w:r>
        <w:t xml:space="preserve">Provide an </w:t>
      </w:r>
      <w:r>
        <w:rPr>
          <w:b/>
        </w:rPr>
        <w:t>Admin Center UX review package</w:t>
      </w:r>
      <w:r>
        <w:t xml:space="preserve"> before evaluating the embedded </w:t>
      </w:r>
      <w:r>
        <w:rPr>
          <w:rFonts w:ascii="Consolas" w:hAnsi="Consolas"/>
          <w:sz w:val="19"/>
        </w:rPr>
        <w:t>/admin</w:t>
      </w:r>
      <w:r>
        <w:t xml:space="preserve"> shell.</w:t>
      </w:r>
    </w:p>
    <w:p>
      <w:pPr>
        <w:pStyle w:val="ListNumber"/>
      </w:pPr>
      <w:r>
        <w:t>Industry-Pack hierarchy remains a separate design-first workstream.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