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44"/>
          <w:sz w:val="76"/>
        </w:rPr>
        <w:t>VANTORA</w:t>
      </w:r>
    </w:p>
    <w:p>
      <w:pPr>
        <w:jc w:val="center"/>
      </w:pPr>
      <w:r>
        <w:rPr>
          <w:b/>
          <w:color w:val="1F2A44"/>
          <w:sz w:val="40"/>
        </w:rPr>
        <w:t>Governance Implementation Roadmap</w:t>
      </w:r>
    </w:p>
    <w:p>
      <w:pPr>
        <w:jc w:val="center"/>
      </w:pPr>
      <w:r>
        <w:rPr>
          <w:color w:val="555555"/>
          <w:sz w:val="22"/>
        </w:rPr>
        <w:t>A founder decision report — what to simplify, when, and what to never touch</w:t>
      </w:r>
    </w:p>
    <w:p/>
    <w:p/>
    <w:p>
      <w:pPr>
        <w:jc w:val="center"/>
      </w:pPr>
      <w:r>
        <w:rPr>
          <w:i/>
          <w:color w:val="555555"/>
          <w:sz w:val="18"/>
        </w:rPr>
        <w:t>Companion to the VANTORA Governance Architecture Handbook · Planning only — no code changes · June 2026</w:t>
      </w:r>
    </w:p>
    <w:p>
      <w:r>
        <w:br w:type="page"/>
      </w:r>
    </w:p>
    <w:p>
      <w:pPr>
        <w:pStyle w:val="Heading1"/>
      </w:pPr>
      <w:r>
        <w:rPr>
          <w:b/>
          <w:color w:val="1F2A44"/>
          <w:sz w:val="28"/>
        </w:rPr>
        <w:t>1. Executive Recommendation</w:t>
      </w:r>
    </w:p>
    <w:p>
      <w:r>
        <w:rPr>
          <w:b/>
          <w:i w:val="0"/>
          <w:color w:val="1A1A1A"/>
          <w:sz w:val="20"/>
        </w:rPr>
        <w:t>This roadmap turns the Governance Handbook's findings into a sequenced, risk-rated plan. It is a decision document, not a change. Nothing here modifies code, schema, roles, modules, business types, or permissions. It tells you what is safe to simplify now, what must wait for the pilot or the first paying customer, and what should never be touched.</w:t>
      </w:r>
    </w:p>
    <w:p>
      <w:r>
        <w:rPr>
          <w:b w:val="0"/>
          <w:i w:val="0"/>
          <w:color w:val="1A1A1A"/>
          <w:sz w:val="20"/>
        </w:rPr>
        <w:t>The core message: VANTORA's complexity is taxonomy, not capability. That distinction makes the cleanup unusually safe. The biggest wins — deduplicating permission families and collapsing identical business types into labels — can be done as additive, backward-compatible aliasing with ZERO impact on any current tenant. The risky work (retiring management role tiers, re-scoping roles) is deferred until after the pilot and first paying customer, when you have real usage data to validate the merge.</w:t>
      </w: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1F2A44"/>
          </w:tcPr>
          <w:p>
            <w:r/>
            <w:r>
              <w:rPr>
                <w:b/>
                <w:color w:val="FFFFFF"/>
                <w:sz w:val="17"/>
              </w:rPr>
              <w:t>Recommendation</w:t>
            </w:r>
          </w:p>
        </w:tc>
        <w:tc>
          <w:tcPr>
            <w:tcW w:type="dxa" w:w="6624"/>
            <w:shd w:val="clear" w:color="auto" w:fill="1F2A44"/>
          </w:tcPr>
          <w:p>
            <w:r/>
            <w:r>
              <w:rPr>
                <w:b/>
                <w:color w:val="FFFFFF"/>
                <w:sz w:val="17"/>
              </w:rPr>
              <w:t>Founder guidance</w:t>
            </w:r>
          </w:p>
        </w:tc>
      </w:tr>
      <w:tr>
        <w:tc>
          <w:tcPr>
            <w:tcW w:type="dxa" w:w="3456"/>
          </w:tcPr>
          <w:p>
            <w:r/>
            <w:r>
              <w:rPr>
                <w:sz w:val="16"/>
              </w:rPr>
              <w:t>Adopt the handbook as baseline</w:t>
            </w:r>
          </w:p>
        </w:tc>
        <w:tc>
          <w:tcPr>
            <w:tcW w:type="dxa" w:w="6624"/>
          </w:tcPr>
          <w:p>
            <w:r/>
            <w:r>
              <w:rPr>
                <w:sz w:val="16"/>
              </w:rPr>
              <w:t>Yes — freeze it as the official governance reference now.</w:t>
            </w:r>
          </w:p>
        </w:tc>
      </w:tr>
      <w:tr>
        <w:tc>
          <w:tcPr>
            <w:tcW w:type="dxa" w:w="3456"/>
            <w:shd w:val="clear" w:color="auto" w:fill="F2F4F8"/>
          </w:tcPr>
          <w:p>
            <w:r/>
            <w:r>
              <w:rPr>
                <w:sz w:val="16"/>
              </w:rPr>
              <w:t>Start simplifying during the pilot?</w:t>
            </w:r>
          </w:p>
        </w:tc>
        <w:tc>
          <w:tcPr>
            <w:tcW w:type="dxa" w:w="6624"/>
            <w:shd w:val="clear" w:color="auto" w:fill="F2F4F8"/>
          </w:tcPr>
          <w:p>
            <w:r/>
            <w:r>
              <w:rPr>
                <w:sz w:val="16"/>
              </w:rPr>
              <w:t>Only the ZERO-impact items (Quick Wins). Everything structural waits.</w:t>
            </w:r>
          </w:p>
        </w:tc>
      </w:tr>
      <w:tr>
        <w:tc>
          <w:tcPr>
            <w:tcW w:type="dxa" w:w="3456"/>
          </w:tcPr>
          <w:p>
            <w:r/>
            <w:r>
              <w:rPr>
                <w:sz w:val="16"/>
              </w:rPr>
              <w:t>Touch roles/business types mid-pilot?</w:t>
            </w:r>
          </w:p>
        </w:tc>
        <w:tc>
          <w:tcPr>
            <w:tcW w:type="dxa" w:w="6624"/>
          </w:tcPr>
          <w:p>
            <w:r/>
            <w:r>
              <w:rPr>
                <w:sz w:val="16"/>
              </w:rPr>
              <w:t>No. Pilot tenants are watching behavior; defer all merges.</w:t>
            </w:r>
          </w:p>
        </w:tc>
      </w:tr>
      <w:tr>
        <w:tc>
          <w:tcPr>
            <w:tcW w:type="dxa" w:w="3456"/>
            <w:shd w:val="clear" w:color="auto" w:fill="F2F4F8"/>
          </w:tcPr>
          <w:p>
            <w:r/>
            <w:r>
              <w:rPr>
                <w:sz w:val="16"/>
              </w:rPr>
              <w:t>What never gets touched</w:t>
            </w:r>
          </w:p>
        </w:tc>
        <w:tc>
          <w:tcPr>
            <w:tcW w:type="dxa" w:w="6624"/>
            <w:shd w:val="clear" w:color="auto" w:fill="F2F4F8"/>
          </w:tcPr>
          <w:p>
            <w:r/>
            <w:r>
              <w:rPr>
                <w:sz w:val="16"/>
              </w:rPr>
              <w:t>Platform↔tenant separation; engine flag-gating; core ERP entitlement model.</w:t>
            </w:r>
          </w:p>
        </w:tc>
      </w:tr>
      <w:tr>
        <w:tc>
          <w:tcPr>
            <w:tcW w:type="dxa" w:w="3456"/>
          </w:tcPr>
          <w:p>
            <w:r/>
            <w:r>
              <w:rPr>
                <w:sz w:val="16"/>
              </w:rPr>
              <w:t>First structural change</w:t>
            </w:r>
          </w:p>
        </w:tc>
        <w:tc>
          <w:tcPr>
            <w:tcW w:type="dxa" w:w="6624"/>
          </w:tcPr>
          <w:p>
            <w:r/>
            <w:r>
              <w:rPr>
                <w:sz w:val="16"/>
              </w:rPr>
              <w:t>Permission deduplication via aliases — additive, reversible, invisible to users.</w:t>
            </w:r>
          </w:p>
        </w:tc>
      </w:tr>
    </w:tbl>
    <w:p>
      <w:r>
        <w:rPr>
          <w:b/>
          <w:i w:val="0"/>
          <w:color w:val="1F2A44"/>
          <w:sz w:val="20"/>
        </w:rPr>
        <w:t>Bottom line: approve the Quick Wins (Section 3) now; schedule the structural simplification (Section 6) for the post-pilot window; treat Section 4 (High-Risk) as gated behind real customer data. Net target: business types 21→~5, roles 27→~8+scope, permissions 91→~60 — phased so no tenant ever sees a regression.</w:t>
      </w:r>
    </w:p>
    <w:p>
      <w:r>
        <w:br w:type="page"/>
      </w:r>
    </w:p>
    <w:p>
      <w:pPr>
        <w:pStyle w:val="Title"/>
      </w:pPr>
      <w:r>
        <w:rPr>
          <w:b/>
          <w:color w:val="1F2A44"/>
          <w:sz w:val="38"/>
        </w:rPr>
        <w:t>2. Priority Matrix</w:t>
      </w:r>
    </w:p>
    <w:p>
      <w:r>
        <w:rPr>
          <w:b w:val="0"/>
          <w:i w:val="0"/>
          <w:color w:val="1A1A1A"/>
          <w:sz w:val="20"/>
        </w:rPr>
        <w:t>Every handbook recommendation, classified by WHEN it should happen, with benefit / risk / effort / tenant impact / data-migration. Timing buckets: IMM=Immediate (safe now) · PP=Post-Pilot · APC=After First Paying Customer · LT=Long-Term Architecture.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600"/>
            <w:shd w:val="clear" w:color="auto" w:fill="1F2A44"/>
          </w:tcPr>
          <w:p>
            <w:r/>
            <w:r>
              <w:rPr>
                <w:b/>
                <w:color w:val="FFFFFF"/>
                <w:sz w:val="17"/>
              </w:rPr>
              <w:t>Recommendation</w:t>
            </w:r>
          </w:p>
        </w:tc>
        <w:tc>
          <w:tcPr>
            <w:tcW w:type="dxa" w:w="720"/>
            <w:shd w:val="clear" w:color="auto" w:fill="1F2A44"/>
          </w:tcPr>
          <w:p>
            <w:r/>
            <w:r>
              <w:rPr>
                <w:b/>
                <w:color w:val="FFFFFF"/>
                <w:sz w:val="17"/>
              </w:rPr>
              <w:t>When</w:t>
            </w:r>
          </w:p>
        </w:tc>
        <w:tc>
          <w:tcPr>
            <w:tcW w:type="dxa" w:w="1872"/>
            <w:shd w:val="clear" w:color="auto" w:fill="1F2A44"/>
          </w:tcPr>
          <w:p>
            <w:r/>
            <w:r>
              <w:rPr>
                <w:b/>
                <w:color w:val="FFFFFF"/>
                <w:sz w:val="17"/>
              </w:rPr>
              <w:t>Benefit</w:t>
            </w:r>
          </w:p>
        </w:tc>
        <w:tc>
          <w:tcPr>
            <w:tcW w:type="dxa" w:w="792"/>
            <w:shd w:val="clear" w:color="auto" w:fill="1F2A44"/>
          </w:tcPr>
          <w:p>
            <w:r/>
            <w:r>
              <w:rPr>
                <w:b/>
                <w:color w:val="FFFFFF"/>
                <w:sz w:val="17"/>
              </w:rPr>
              <w:t>Risk</w:t>
            </w:r>
          </w:p>
        </w:tc>
        <w:tc>
          <w:tcPr>
            <w:tcW w:type="dxa" w:w="576"/>
            <w:shd w:val="clear" w:color="auto" w:fill="1F2A44"/>
          </w:tcPr>
          <w:p>
            <w:r/>
            <w:r>
              <w:rPr>
                <w:b/>
                <w:color w:val="FFFFFF"/>
                <w:sz w:val="17"/>
              </w:rPr>
              <w:t>Eff.</w:t>
            </w:r>
          </w:p>
        </w:tc>
        <w:tc>
          <w:tcPr>
            <w:tcW w:type="dxa" w:w="1800"/>
            <w:shd w:val="clear" w:color="auto" w:fill="1F2A44"/>
          </w:tcPr>
          <w:p>
            <w:r/>
            <w:r>
              <w:rPr>
                <w:b/>
                <w:color w:val="FFFFFF"/>
                <w:sz w:val="17"/>
              </w:rPr>
              <w:t>Tenant impact</w:t>
            </w:r>
          </w:p>
        </w:tc>
        <w:tc>
          <w:tcPr>
            <w:tcW w:type="dxa" w:w="792"/>
            <w:shd w:val="clear" w:color="auto" w:fill="1F2A44"/>
          </w:tcPr>
          <w:p>
            <w:r/>
            <w:r>
              <w:rPr>
                <w:b/>
                <w:color w:val="FFFFFF"/>
                <w:sz w:val="17"/>
              </w:rPr>
              <w:t>Migr.</w:t>
            </w:r>
          </w:p>
        </w:tc>
      </w:tr>
      <w:tr>
        <w:tc>
          <w:tcPr>
            <w:tcW w:type="dxa" w:w="3600"/>
          </w:tcPr>
          <w:p>
            <w:r/>
            <w:r>
              <w:rPr>
                <w:sz w:val="15"/>
              </w:rPr>
              <w:t>[A1 ✔ DONE] Drop dead permission keys (change_requests.*, trade_spend.manage)</w:t>
            </w:r>
          </w:p>
        </w:tc>
        <w:tc>
          <w:tcPr>
            <w:tcW w:type="dxa" w:w="720"/>
            <w:shd w:val="clear" w:color="auto" w:fill="E5F2E9"/>
          </w:tcPr>
          <w:p>
            <w:r/>
            <w:r>
              <w:rPr>
                <w:sz w:val="15"/>
              </w:rPr>
              <w:t>IMM</w:t>
            </w:r>
          </w:p>
        </w:tc>
        <w:tc>
          <w:tcPr>
            <w:tcW w:type="dxa" w:w="1872"/>
          </w:tcPr>
          <w:p>
            <w:r/>
            <w:r>
              <w:rPr>
                <w:sz w:val="15"/>
              </w:rPr>
              <w:t>Removes confusion; cleaner audit</w:t>
            </w:r>
          </w:p>
        </w:tc>
        <w:tc>
          <w:tcPr>
            <w:tcW w:type="dxa" w:w="792"/>
          </w:tcPr>
          <w:p>
            <w:r/>
            <w:r>
              <w:rPr>
                <w:sz w:val="15"/>
              </w:rPr>
              <w:t>Low</w:t>
            </w:r>
          </w:p>
        </w:tc>
        <w:tc>
          <w:tcPr>
            <w:tcW w:type="dxa" w:w="576"/>
          </w:tcPr>
          <w:p>
            <w:r/>
            <w:r>
              <w:rPr>
                <w:sz w:val="15"/>
              </w:rPr>
              <w:t>S</w:t>
            </w:r>
          </w:p>
        </w:tc>
        <w:tc>
          <w:tcPr>
            <w:tcW w:type="dxa" w:w="1800"/>
          </w:tcPr>
          <w:p>
            <w:r/>
            <w:r>
              <w:rPr>
                <w:sz w:val="15"/>
              </w:rPr>
              <w:t>None (unenforced)</w:t>
            </w:r>
          </w:p>
        </w:tc>
        <w:tc>
          <w:tcPr>
            <w:tcW w:type="dxa" w:w="792"/>
          </w:tcPr>
          <w:p>
            <w:r/>
            <w:r>
              <w:rPr>
                <w:sz w:val="15"/>
              </w:rPr>
              <w:t>No</w:t>
            </w:r>
          </w:p>
        </w:tc>
      </w:tr>
      <w:tr>
        <w:tc>
          <w:tcPr>
            <w:tcW w:type="dxa" w:w="3600"/>
            <w:shd w:val="clear" w:color="auto" w:fill="F2F4F8"/>
          </w:tcPr>
          <w:p>
            <w:r/>
            <w:r>
              <w:rPr>
                <w:sz w:val="15"/>
              </w:rPr>
              <w:t>[A2 ⟶ Phase C] Consolidate permission families — NOT aliasable: they are distinct enforced perms</w:t>
            </w:r>
          </w:p>
        </w:tc>
        <w:tc>
          <w:tcPr>
            <w:tcW w:type="dxa" w:w="720"/>
            <w:shd w:val="clear" w:color="auto" w:fill="FBF1DD"/>
          </w:tcPr>
          <w:p>
            <w:r/>
            <w:r>
              <w:rPr>
                <w:sz w:val="15"/>
              </w:rPr>
              <w:t>APC</w:t>
            </w:r>
          </w:p>
        </w:tc>
        <w:tc>
          <w:tcPr>
            <w:tcW w:type="dxa" w:w="1872"/>
            <w:shd w:val="clear" w:color="auto" w:fill="F2F4F8"/>
          </w:tcPr>
          <w:p>
            <w:r/>
            <w:r>
              <w:rPr>
                <w:sz w:val="15"/>
              </w:rPr>
              <w:t>Real dedup, but needs migration</w:t>
            </w:r>
          </w:p>
        </w:tc>
        <w:tc>
          <w:tcPr>
            <w:tcW w:type="dxa" w:w="792"/>
            <w:shd w:val="clear" w:color="auto" w:fill="F2F4F8"/>
          </w:tcPr>
          <w:p>
            <w:r/>
            <w:r>
              <w:rPr>
                <w:sz w:val="15"/>
              </w:rPr>
              <w:t>High</w:t>
            </w:r>
          </w:p>
        </w:tc>
        <w:tc>
          <w:tcPr>
            <w:tcW w:type="dxa" w:w="576"/>
            <w:shd w:val="clear" w:color="auto" w:fill="F2F4F8"/>
          </w:tcPr>
          <w:p>
            <w:r/>
            <w:r>
              <w:rPr>
                <w:sz w:val="15"/>
              </w:rPr>
              <w:t>L</w:t>
            </w:r>
          </w:p>
        </w:tc>
        <w:tc>
          <w:tcPr>
            <w:tcW w:type="dxa" w:w="1800"/>
            <w:shd w:val="clear" w:color="auto" w:fill="F2F4F8"/>
          </w:tcPr>
          <w:p>
            <w:r/>
            <w:r>
              <w:rPr>
                <w:sz w:val="15"/>
              </w:rPr>
              <w:t>YES — changes effective access</w:t>
            </w:r>
          </w:p>
        </w:tc>
        <w:tc>
          <w:tcPr>
            <w:tcW w:type="dxa" w:w="792"/>
            <w:shd w:val="clear" w:color="auto" w:fill="F2F4F8"/>
          </w:tcPr>
          <w:p>
            <w:r/>
            <w:r>
              <w:rPr>
                <w:sz w:val="15"/>
              </w:rPr>
              <w:t>YES</w:t>
            </w:r>
          </w:p>
        </w:tc>
      </w:tr>
      <w:tr>
        <w:tc>
          <w:tcPr>
            <w:tcW w:type="dxa" w:w="3600"/>
          </w:tcPr>
          <w:p>
            <w:r/>
            <w:r>
              <w:rPr>
                <w:sz w:val="15"/>
              </w:rPr>
              <w:t>[A3 ✔ DONE] Tie nav + page gating to the SAME flag (fix show-then-404)</w:t>
            </w:r>
          </w:p>
        </w:tc>
        <w:tc>
          <w:tcPr>
            <w:tcW w:type="dxa" w:w="720"/>
            <w:shd w:val="clear" w:color="auto" w:fill="E5F2E9"/>
          </w:tcPr>
          <w:p>
            <w:r/>
            <w:r>
              <w:rPr>
                <w:sz w:val="15"/>
              </w:rPr>
              <w:t>IMM</w:t>
            </w:r>
          </w:p>
        </w:tc>
        <w:tc>
          <w:tcPr>
            <w:tcW w:type="dxa" w:w="1872"/>
          </w:tcPr>
          <w:p>
            <w:r/>
            <w:r>
              <w:rPr>
                <w:sz w:val="15"/>
              </w:rPr>
              <w:t>Fixes real UX bug (Trade Spend 404)</w:t>
            </w:r>
          </w:p>
        </w:tc>
        <w:tc>
          <w:tcPr>
            <w:tcW w:type="dxa" w:w="792"/>
          </w:tcPr>
          <w:p>
            <w:r/>
            <w:r>
              <w:rPr>
                <w:sz w:val="15"/>
              </w:rPr>
              <w:t>Low</w:t>
            </w:r>
          </w:p>
        </w:tc>
        <w:tc>
          <w:tcPr>
            <w:tcW w:type="dxa" w:w="576"/>
          </w:tcPr>
          <w:p>
            <w:r/>
            <w:r>
              <w:rPr>
                <w:sz w:val="15"/>
              </w:rPr>
              <w:t>S</w:t>
            </w:r>
          </w:p>
        </w:tc>
        <w:tc>
          <w:tcPr>
            <w:tcW w:type="dxa" w:w="1800"/>
          </w:tcPr>
          <w:p>
            <w:r/>
            <w:r>
              <w:rPr>
                <w:sz w:val="15"/>
              </w:rPr>
              <w:t>Positive (no broken links)</w:t>
            </w:r>
          </w:p>
        </w:tc>
        <w:tc>
          <w:tcPr>
            <w:tcW w:type="dxa" w:w="792"/>
          </w:tcPr>
          <w:p>
            <w:r/>
            <w:r>
              <w:rPr>
                <w:sz w:val="15"/>
              </w:rPr>
              <w:t>No</w:t>
            </w:r>
          </w:p>
        </w:tc>
      </w:tr>
      <w:tr>
        <w:tc>
          <w:tcPr>
            <w:tcW w:type="dxa" w:w="3600"/>
            <w:shd w:val="clear" w:color="auto" w:fill="F2F4F8"/>
          </w:tcPr>
          <w:p>
            <w:r/>
            <w:r>
              <w:rPr>
                <w:sz w:val="15"/>
              </w:rPr>
              <w:t>[A4 ✔ DONE] Document the 5 archetypes (no type change)</w:t>
            </w:r>
          </w:p>
        </w:tc>
        <w:tc>
          <w:tcPr>
            <w:tcW w:type="dxa" w:w="720"/>
            <w:shd w:val="clear" w:color="auto" w:fill="E5F2E9"/>
          </w:tcPr>
          <w:p>
            <w:r/>
            <w:r>
              <w:rPr>
                <w:sz w:val="15"/>
              </w:rPr>
              <w:t>IMM</w:t>
            </w:r>
          </w:p>
        </w:tc>
        <w:tc>
          <w:tcPr>
            <w:tcW w:type="dxa" w:w="1872"/>
            <w:shd w:val="clear" w:color="auto" w:fill="F2F4F8"/>
          </w:tcPr>
          <w:p>
            <w:r/>
            <w:r>
              <w:rPr>
                <w:sz w:val="15"/>
              </w:rPr>
              <w:t>Clarifies onboarding</w:t>
            </w:r>
          </w:p>
        </w:tc>
        <w:tc>
          <w:tcPr>
            <w:tcW w:type="dxa" w:w="792"/>
            <w:shd w:val="clear" w:color="auto" w:fill="F2F4F8"/>
          </w:tcPr>
          <w:p>
            <w:r/>
            <w:r>
              <w:rPr>
                <w:sz w:val="15"/>
              </w:rPr>
              <w:t>Low</w:t>
            </w:r>
          </w:p>
        </w:tc>
        <w:tc>
          <w:tcPr>
            <w:tcW w:type="dxa" w:w="576"/>
            <w:shd w:val="clear" w:color="auto" w:fill="F2F4F8"/>
          </w:tcPr>
          <w:p>
            <w:r/>
            <w:r>
              <w:rPr>
                <w:sz w:val="15"/>
              </w:rPr>
              <w:t>S</w:t>
            </w:r>
          </w:p>
        </w:tc>
        <w:tc>
          <w:tcPr>
            <w:tcW w:type="dxa" w:w="1800"/>
            <w:shd w:val="clear" w:color="auto" w:fill="F2F4F8"/>
          </w:tcPr>
          <w:p>
            <w:r/>
            <w:r>
              <w:rPr>
                <w:sz w:val="15"/>
              </w:rPr>
              <w:t>None (existing tenants keep type)</w:t>
            </w:r>
          </w:p>
        </w:tc>
        <w:tc>
          <w:tcPr>
            <w:tcW w:type="dxa" w:w="792"/>
            <w:shd w:val="clear" w:color="auto" w:fill="F2F4F8"/>
          </w:tcPr>
          <w:p>
            <w:r/>
            <w:r>
              <w:rPr>
                <w:sz w:val="15"/>
              </w:rPr>
              <w:t>No</w:t>
            </w:r>
          </w:p>
        </w:tc>
      </w:tr>
      <w:tr>
        <w:tc>
          <w:tcPr>
            <w:tcW w:type="dxa" w:w="3600"/>
          </w:tcPr>
          <w:p>
            <w:r/>
            <w:r>
              <w:rPr>
                <w:sz w:val="15"/>
              </w:rPr>
              <w:t>[A5 ✔ DONE] Catalog the two feature-flag kinds (capability vs kill-switch)</w:t>
            </w:r>
          </w:p>
        </w:tc>
        <w:tc>
          <w:tcPr>
            <w:tcW w:type="dxa" w:w="720"/>
            <w:shd w:val="clear" w:color="auto" w:fill="E5F2E9"/>
          </w:tcPr>
          <w:p>
            <w:r/>
            <w:r>
              <w:rPr>
                <w:sz w:val="15"/>
              </w:rPr>
              <w:t>IMM</w:t>
            </w:r>
          </w:p>
        </w:tc>
        <w:tc>
          <w:tcPr>
            <w:tcW w:type="dxa" w:w="1872"/>
          </w:tcPr>
          <w:p>
            <w:r/>
            <w:r>
              <w:rPr>
                <w:sz w:val="15"/>
              </w:rPr>
              <w:t>Prevents future show-then-404</w:t>
            </w:r>
          </w:p>
        </w:tc>
        <w:tc>
          <w:tcPr>
            <w:tcW w:type="dxa" w:w="792"/>
          </w:tcPr>
          <w:p>
            <w:r/>
            <w:r>
              <w:rPr>
                <w:sz w:val="15"/>
              </w:rPr>
              <w:t>Low</w:t>
            </w:r>
          </w:p>
        </w:tc>
        <w:tc>
          <w:tcPr>
            <w:tcW w:type="dxa" w:w="576"/>
          </w:tcPr>
          <w:p>
            <w:r/>
            <w:r>
              <w:rPr>
                <w:sz w:val="15"/>
              </w:rPr>
              <w:t>S</w:t>
            </w:r>
          </w:p>
        </w:tc>
        <w:tc>
          <w:tcPr>
            <w:tcW w:type="dxa" w:w="1800"/>
          </w:tcPr>
          <w:p>
            <w:r/>
            <w:r>
              <w:rPr>
                <w:sz w:val="15"/>
              </w:rPr>
              <w:t>None</w:t>
            </w:r>
          </w:p>
        </w:tc>
        <w:tc>
          <w:tcPr>
            <w:tcW w:type="dxa" w:w="792"/>
          </w:tcPr>
          <w:p>
            <w:r/>
            <w:r>
              <w:rPr>
                <w:sz w:val="15"/>
              </w:rPr>
              <w:t>No</w:t>
            </w:r>
          </w:p>
        </w:tc>
      </w:tr>
      <w:tr>
        <w:tc>
          <w:tcPr>
            <w:tcW w:type="dxa" w:w="3600"/>
            <w:shd w:val="clear" w:color="auto" w:fill="F2F4F8"/>
          </w:tcPr>
          <w:p>
            <w:r/>
            <w:r>
              <w:rPr>
                <w:sz w:val="15"/>
              </w:rPr>
              <w:t>Don't seed optional/vertical roles by default in new tenants</w:t>
            </w:r>
          </w:p>
        </w:tc>
        <w:tc>
          <w:tcPr>
            <w:tcW w:type="dxa" w:w="720"/>
            <w:shd w:val="clear" w:color="auto" w:fill="E5ECF7"/>
          </w:tcPr>
          <w:p>
            <w:r/>
            <w:r>
              <w:rPr>
                <w:sz w:val="15"/>
              </w:rPr>
              <w:t>PP</w:t>
            </w:r>
          </w:p>
        </w:tc>
        <w:tc>
          <w:tcPr>
            <w:tcW w:type="dxa" w:w="1872"/>
            <w:shd w:val="clear" w:color="auto" w:fill="F2F4F8"/>
          </w:tcPr>
          <w:p>
            <w:r/>
            <w:r>
              <w:rPr>
                <w:sz w:val="15"/>
              </w:rPr>
              <w:t>Simpler new-tenant setup</w:t>
            </w:r>
          </w:p>
        </w:tc>
        <w:tc>
          <w:tcPr>
            <w:tcW w:type="dxa" w:w="792"/>
            <w:shd w:val="clear" w:color="auto" w:fill="F2F4F8"/>
          </w:tcPr>
          <w:p>
            <w:r/>
            <w:r>
              <w:rPr>
                <w:sz w:val="15"/>
              </w:rPr>
              <w:t>Low</w:t>
            </w:r>
          </w:p>
        </w:tc>
        <w:tc>
          <w:tcPr>
            <w:tcW w:type="dxa" w:w="576"/>
            <w:shd w:val="clear" w:color="auto" w:fill="F2F4F8"/>
          </w:tcPr>
          <w:p>
            <w:r/>
            <w:r>
              <w:rPr>
                <w:sz w:val="15"/>
              </w:rPr>
              <w:t>S</w:t>
            </w:r>
          </w:p>
        </w:tc>
        <w:tc>
          <w:tcPr>
            <w:tcW w:type="dxa" w:w="1800"/>
            <w:shd w:val="clear" w:color="auto" w:fill="F2F4F8"/>
          </w:tcPr>
          <w:p>
            <w:r/>
            <w:r>
              <w:rPr>
                <w:sz w:val="15"/>
              </w:rPr>
              <w:t>New tenants only</w:t>
            </w:r>
          </w:p>
        </w:tc>
        <w:tc>
          <w:tcPr>
            <w:tcW w:type="dxa" w:w="792"/>
            <w:shd w:val="clear" w:color="auto" w:fill="F2F4F8"/>
          </w:tcPr>
          <w:p>
            <w:r/>
            <w:r>
              <w:rPr>
                <w:sz w:val="15"/>
              </w:rPr>
              <w:t>No</w:t>
            </w:r>
          </w:p>
        </w:tc>
      </w:tr>
      <w:tr>
        <w:tc>
          <w:tcPr>
            <w:tcW w:type="dxa" w:w="3600"/>
          </w:tcPr>
          <w:p>
            <w:r/>
            <w:r>
              <w:rPr>
                <w:sz w:val="15"/>
              </w:rPr>
              <w:t>Introduce role 'scope' dimension (branch/area/region/national) additively</w:t>
            </w:r>
          </w:p>
        </w:tc>
        <w:tc>
          <w:tcPr>
            <w:tcW w:type="dxa" w:w="720"/>
            <w:shd w:val="clear" w:color="auto" w:fill="E5ECF7"/>
          </w:tcPr>
          <w:p>
            <w:r/>
            <w:r>
              <w:rPr>
                <w:sz w:val="15"/>
              </w:rPr>
              <w:t>PP</w:t>
            </w:r>
          </w:p>
        </w:tc>
        <w:tc>
          <w:tcPr>
            <w:tcW w:type="dxa" w:w="1872"/>
          </w:tcPr>
          <w:p>
            <w:r/>
            <w:r>
              <w:rPr>
                <w:sz w:val="15"/>
              </w:rPr>
              <w:t>Foundation to retire mgmt tiers</w:t>
            </w:r>
          </w:p>
        </w:tc>
        <w:tc>
          <w:tcPr>
            <w:tcW w:type="dxa" w:w="792"/>
          </w:tcPr>
          <w:p>
            <w:r/>
            <w:r>
              <w:rPr>
                <w:sz w:val="15"/>
              </w:rPr>
              <w:t>Medium</w:t>
            </w:r>
          </w:p>
        </w:tc>
        <w:tc>
          <w:tcPr>
            <w:tcW w:type="dxa" w:w="576"/>
          </w:tcPr>
          <w:p>
            <w:r/>
            <w:r>
              <w:rPr>
                <w:sz w:val="15"/>
              </w:rPr>
              <w:t>L</w:t>
            </w:r>
          </w:p>
        </w:tc>
        <w:tc>
          <w:tcPr>
            <w:tcW w:type="dxa" w:w="1800"/>
          </w:tcPr>
          <w:p>
            <w:r/>
            <w:r>
              <w:rPr>
                <w:sz w:val="15"/>
              </w:rPr>
              <w:t>None until adopted</w:t>
            </w:r>
          </w:p>
        </w:tc>
        <w:tc>
          <w:tcPr>
            <w:tcW w:type="dxa" w:w="792"/>
          </w:tcPr>
          <w:p>
            <w:r/>
            <w:r>
              <w:rPr>
                <w:sz w:val="15"/>
              </w:rPr>
              <w:t>No</w:t>
            </w:r>
          </w:p>
        </w:tc>
      </w:tr>
      <w:tr>
        <w:tc>
          <w:tcPr>
            <w:tcW w:type="dxa" w:w="3600"/>
            <w:shd w:val="clear" w:color="auto" w:fill="F2F4F8"/>
          </w:tcPr>
          <w:p>
            <w:r/>
            <w:r>
              <w:rPr>
                <w:sz w:val="15"/>
              </w:rPr>
              <w:t>Collapse identical-module business types into 'Retail' archetype (new tenants)</w:t>
            </w:r>
          </w:p>
        </w:tc>
        <w:tc>
          <w:tcPr>
            <w:tcW w:type="dxa" w:w="720"/>
            <w:shd w:val="clear" w:color="auto" w:fill="E5ECF7"/>
          </w:tcPr>
          <w:p>
            <w:r/>
            <w:r>
              <w:rPr>
                <w:sz w:val="15"/>
              </w:rPr>
              <w:t>PP</w:t>
            </w:r>
          </w:p>
        </w:tc>
        <w:tc>
          <w:tcPr>
            <w:tcW w:type="dxa" w:w="1872"/>
            <w:shd w:val="clear" w:color="auto" w:fill="F2F4F8"/>
          </w:tcPr>
          <w:p>
            <w:r/>
            <w:r>
              <w:rPr>
                <w:sz w:val="15"/>
              </w:rPr>
              <w:t>Fewer types to reason about</w:t>
            </w:r>
          </w:p>
        </w:tc>
        <w:tc>
          <w:tcPr>
            <w:tcW w:type="dxa" w:w="792"/>
            <w:shd w:val="clear" w:color="auto" w:fill="F2F4F8"/>
          </w:tcPr>
          <w:p>
            <w:r/>
            <w:r>
              <w:rPr>
                <w:sz w:val="15"/>
              </w:rPr>
              <w:t>Medium</w:t>
            </w:r>
          </w:p>
        </w:tc>
        <w:tc>
          <w:tcPr>
            <w:tcW w:type="dxa" w:w="576"/>
            <w:shd w:val="clear" w:color="auto" w:fill="F2F4F8"/>
          </w:tcPr>
          <w:p>
            <w:r/>
            <w:r>
              <w:rPr>
                <w:sz w:val="15"/>
              </w:rPr>
              <w:t>M</w:t>
            </w:r>
          </w:p>
        </w:tc>
        <w:tc>
          <w:tcPr>
            <w:tcW w:type="dxa" w:w="1800"/>
            <w:shd w:val="clear" w:color="auto" w:fill="F2F4F8"/>
          </w:tcPr>
          <w:p>
            <w:r/>
            <w:r>
              <w:rPr>
                <w:sz w:val="15"/>
              </w:rPr>
              <w:t>New tenants only</w:t>
            </w:r>
          </w:p>
        </w:tc>
        <w:tc>
          <w:tcPr>
            <w:tcW w:type="dxa" w:w="792"/>
            <w:shd w:val="clear" w:color="auto" w:fill="F2F4F8"/>
          </w:tcPr>
          <w:p>
            <w:r/>
            <w:r>
              <w:rPr>
                <w:sz w:val="15"/>
              </w:rPr>
              <w:t>No</w:t>
            </w:r>
          </w:p>
        </w:tc>
      </w:tr>
      <w:tr>
        <w:tc>
          <w:tcPr>
            <w:tcW w:type="dxa" w:w="3600"/>
          </w:tcPr>
          <w:p>
            <w:r/>
            <w:r>
              <w:rPr>
                <w:sz w:val="15"/>
              </w:rPr>
              <w:t>Fold sales_orders capability into sales (nav grouping, keep data)</w:t>
            </w:r>
          </w:p>
        </w:tc>
        <w:tc>
          <w:tcPr>
            <w:tcW w:type="dxa" w:w="720"/>
            <w:shd w:val="clear" w:color="auto" w:fill="E5ECF7"/>
          </w:tcPr>
          <w:p>
            <w:r/>
            <w:r>
              <w:rPr>
                <w:sz w:val="15"/>
              </w:rPr>
              <w:t>PP</w:t>
            </w:r>
          </w:p>
        </w:tc>
        <w:tc>
          <w:tcPr>
            <w:tcW w:type="dxa" w:w="1872"/>
          </w:tcPr>
          <w:p>
            <w:r/>
            <w:r>
              <w:rPr>
                <w:sz w:val="15"/>
              </w:rPr>
              <w:t>One fewer module concept</w:t>
            </w:r>
          </w:p>
        </w:tc>
        <w:tc>
          <w:tcPr>
            <w:tcW w:type="dxa" w:w="792"/>
          </w:tcPr>
          <w:p>
            <w:r/>
            <w:r>
              <w:rPr>
                <w:sz w:val="15"/>
              </w:rPr>
              <w:t>Medium</w:t>
            </w:r>
          </w:p>
        </w:tc>
        <w:tc>
          <w:tcPr>
            <w:tcW w:type="dxa" w:w="576"/>
          </w:tcPr>
          <w:p>
            <w:r/>
            <w:r>
              <w:rPr>
                <w:sz w:val="15"/>
              </w:rPr>
              <w:t>M</w:t>
            </w:r>
          </w:p>
        </w:tc>
        <w:tc>
          <w:tcPr>
            <w:tcW w:type="dxa" w:w="1800"/>
          </w:tcPr>
          <w:p>
            <w:r/>
            <w:r>
              <w:rPr>
                <w:sz w:val="15"/>
              </w:rPr>
              <w:t>None (data unchanged)</w:t>
            </w:r>
          </w:p>
        </w:tc>
        <w:tc>
          <w:tcPr>
            <w:tcW w:type="dxa" w:w="792"/>
          </w:tcPr>
          <w:p>
            <w:r/>
            <w:r>
              <w:rPr>
                <w:sz w:val="15"/>
              </w:rPr>
              <w:t>No</w:t>
            </w:r>
          </w:p>
        </w:tc>
      </w:tr>
      <w:tr>
        <w:tc>
          <w:tcPr>
            <w:tcW w:type="dxa" w:w="3600"/>
            <w:shd w:val="clear" w:color="auto" w:fill="F2F4F8"/>
          </w:tcPr>
          <w:p>
            <w:r/>
            <w:r>
              <w:rPr>
                <w:sz w:val="15"/>
              </w:rPr>
              <w:t>Merge change_requests/critical_alerts presentation under workflow/analytics</w:t>
            </w:r>
          </w:p>
        </w:tc>
        <w:tc>
          <w:tcPr>
            <w:tcW w:type="dxa" w:w="720"/>
            <w:shd w:val="clear" w:color="auto" w:fill="E5ECF7"/>
          </w:tcPr>
          <w:p>
            <w:r/>
            <w:r>
              <w:rPr>
                <w:sz w:val="15"/>
              </w:rPr>
              <w:t>PP</w:t>
            </w:r>
          </w:p>
        </w:tc>
        <w:tc>
          <w:tcPr>
            <w:tcW w:type="dxa" w:w="1872"/>
            <w:shd w:val="clear" w:color="auto" w:fill="F2F4F8"/>
          </w:tcPr>
          <w:p>
            <w:r/>
            <w:r>
              <w:rPr>
                <w:sz w:val="15"/>
              </w:rPr>
              <w:t>Fewer top-level modules</w:t>
            </w:r>
          </w:p>
        </w:tc>
        <w:tc>
          <w:tcPr>
            <w:tcW w:type="dxa" w:w="792"/>
            <w:shd w:val="clear" w:color="auto" w:fill="F2F4F8"/>
          </w:tcPr>
          <w:p>
            <w:r/>
            <w:r>
              <w:rPr>
                <w:sz w:val="15"/>
              </w:rPr>
              <w:t>Medium</w:t>
            </w:r>
          </w:p>
        </w:tc>
        <w:tc>
          <w:tcPr>
            <w:tcW w:type="dxa" w:w="576"/>
            <w:shd w:val="clear" w:color="auto" w:fill="F2F4F8"/>
          </w:tcPr>
          <w:p>
            <w:r/>
            <w:r>
              <w:rPr>
                <w:sz w:val="15"/>
              </w:rPr>
              <w:t>M</w:t>
            </w:r>
          </w:p>
        </w:tc>
        <w:tc>
          <w:tcPr>
            <w:tcW w:type="dxa" w:w="1800"/>
            <w:shd w:val="clear" w:color="auto" w:fill="F2F4F8"/>
          </w:tcPr>
          <w:p>
            <w:r/>
            <w:r>
              <w:rPr>
                <w:sz w:val="15"/>
              </w:rPr>
              <w:t>Nav only</w:t>
            </w:r>
          </w:p>
        </w:tc>
        <w:tc>
          <w:tcPr>
            <w:tcW w:type="dxa" w:w="792"/>
            <w:shd w:val="clear" w:color="auto" w:fill="F2F4F8"/>
          </w:tcPr>
          <w:p>
            <w:r/>
            <w:r>
              <w:rPr>
                <w:sz w:val="15"/>
              </w:rPr>
              <w:t>No</w:t>
            </w:r>
          </w:p>
        </w:tc>
      </w:tr>
      <w:tr>
        <w:tc>
          <w:tcPr>
            <w:tcW w:type="dxa" w:w="3600"/>
          </w:tcPr>
          <w:p>
            <w:r/>
            <w:r>
              <w:rPr>
                <w:sz w:val="15"/>
              </w:rPr>
              <w:t>Retire 5 management role tiers → Manager + scope (migrate existing assignments)</w:t>
            </w:r>
          </w:p>
        </w:tc>
        <w:tc>
          <w:tcPr>
            <w:tcW w:type="dxa" w:w="720"/>
            <w:shd w:val="clear" w:color="auto" w:fill="FBF1DD"/>
          </w:tcPr>
          <w:p>
            <w:r/>
            <w:r>
              <w:rPr>
                <w:sz w:val="15"/>
              </w:rPr>
              <w:t>APC</w:t>
            </w:r>
          </w:p>
        </w:tc>
        <w:tc>
          <w:tcPr>
            <w:tcW w:type="dxa" w:w="1872"/>
          </w:tcPr>
          <w:p>
            <w:r/>
            <w:r>
              <w:rPr>
                <w:sz w:val="15"/>
              </w:rPr>
              <w:t>27→~8 roles; huge clarity</w:t>
            </w:r>
          </w:p>
        </w:tc>
        <w:tc>
          <w:tcPr>
            <w:tcW w:type="dxa" w:w="792"/>
          </w:tcPr>
          <w:p>
            <w:r/>
            <w:r>
              <w:rPr>
                <w:sz w:val="15"/>
              </w:rPr>
              <w:t>High</w:t>
            </w:r>
          </w:p>
        </w:tc>
        <w:tc>
          <w:tcPr>
            <w:tcW w:type="dxa" w:w="576"/>
          </w:tcPr>
          <w:p>
            <w:r/>
            <w:r>
              <w:rPr>
                <w:sz w:val="15"/>
              </w:rPr>
              <w:t>L</w:t>
            </w:r>
          </w:p>
        </w:tc>
        <w:tc>
          <w:tcPr>
            <w:tcW w:type="dxa" w:w="1800"/>
          </w:tcPr>
          <w:p>
            <w:r/>
            <w:r>
              <w:rPr>
                <w:sz w:val="15"/>
              </w:rPr>
              <w:t>Existing tenants w/ those roles</w:t>
            </w:r>
          </w:p>
        </w:tc>
        <w:tc>
          <w:tcPr>
            <w:tcW w:type="dxa" w:w="792"/>
          </w:tcPr>
          <w:p>
            <w:r/>
            <w:r>
              <w:rPr>
                <w:sz w:val="15"/>
              </w:rPr>
              <w:t>YES</w:t>
            </w:r>
          </w:p>
        </w:tc>
      </w:tr>
      <w:tr>
        <w:tc>
          <w:tcPr>
            <w:tcW w:type="dxa" w:w="3600"/>
            <w:shd w:val="clear" w:color="auto" w:fill="F2F4F8"/>
          </w:tcPr>
          <w:p>
            <w:r/>
            <w:r>
              <w:rPr>
                <w:sz w:val="15"/>
              </w:rPr>
              <w:t>Migrate existing tenants' business_type to archetype + label</w:t>
            </w:r>
          </w:p>
        </w:tc>
        <w:tc>
          <w:tcPr>
            <w:tcW w:type="dxa" w:w="720"/>
            <w:shd w:val="clear" w:color="auto" w:fill="FBF1DD"/>
          </w:tcPr>
          <w:p>
            <w:r/>
            <w:r>
              <w:rPr>
                <w:sz w:val="15"/>
              </w:rPr>
              <w:t>APC</w:t>
            </w:r>
          </w:p>
        </w:tc>
        <w:tc>
          <w:tcPr>
            <w:tcW w:type="dxa" w:w="1872"/>
            <w:shd w:val="clear" w:color="auto" w:fill="F2F4F8"/>
          </w:tcPr>
          <w:p>
            <w:r/>
            <w:r>
              <w:rPr>
                <w:sz w:val="15"/>
              </w:rPr>
              <w:t>Real type-count reduction</w:t>
            </w:r>
          </w:p>
        </w:tc>
        <w:tc>
          <w:tcPr>
            <w:tcW w:type="dxa" w:w="792"/>
            <w:shd w:val="clear" w:color="auto" w:fill="F2F4F8"/>
          </w:tcPr>
          <w:p>
            <w:r/>
            <w:r>
              <w:rPr>
                <w:sz w:val="15"/>
              </w:rPr>
              <w:t>High</w:t>
            </w:r>
          </w:p>
        </w:tc>
        <w:tc>
          <w:tcPr>
            <w:tcW w:type="dxa" w:w="576"/>
            <w:shd w:val="clear" w:color="auto" w:fill="F2F4F8"/>
          </w:tcPr>
          <w:p>
            <w:r/>
            <w:r>
              <w:rPr>
                <w:sz w:val="15"/>
              </w:rPr>
              <w:t>L</w:t>
            </w:r>
          </w:p>
        </w:tc>
        <w:tc>
          <w:tcPr>
            <w:tcW w:type="dxa" w:w="1800"/>
            <w:shd w:val="clear" w:color="auto" w:fill="F2F4F8"/>
          </w:tcPr>
          <w:p>
            <w:r/>
            <w:r>
              <w:rPr>
                <w:sz w:val="15"/>
              </w:rPr>
              <w:t>All multi-type tenants</w:t>
            </w:r>
          </w:p>
        </w:tc>
        <w:tc>
          <w:tcPr>
            <w:tcW w:type="dxa" w:w="792"/>
            <w:shd w:val="clear" w:color="auto" w:fill="F2F4F8"/>
          </w:tcPr>
          <w:p>
            <w:r/>
            <w:r>
              <w:rPr>
                <w:sz w:val="15"/>
              </w:rPr>
              <w:t>YES</w:t>
            </w:r>
          </w:p>
        </w:tc>
      </w:tr>
      <w:tr>
        <w:tc>
          <w:tcPr>
            <w:tcW w:type="dxa" w:w="3600"/>
          </w:tcPr>
          <w:p>
            <w:r/>
            <w:r>
              <w:rPr>
                <w:sz w:val="15"/>
              </w:rPr>
              <w:t>Physically remove deduplicated permissions after alias soak</w:t>
            </w:r>
          </w:p>
        </w:tc>
        <w:tc>
          <w:tcPr>
            <w:tcW w:type="dxa" w:w="720"/>
            <w:shd w:val="clear" w:color="auto" w:fill="FBF1DD"/>
          </w:tcPr>
          <w:p>
            <w:r/>
            <w:r>
              <w:rPr>
                <w:sz w:val="15"/>
              </w:rPr>
              <w:t>APC</w:t>
            </w:r>
          </w:p>
        </w:tc>
        <w:tc>
          <w:tcPr>
            <w:tcW w:type="dxa" w:w="1872"/>
          </w:tcPr>
          <w:p>
            <w:r/>
            <w:r>
              <w:rPr>
                <w:sz w:val="15"/>
              </w:rPr>
              <w:t>Final permission cleanup</w:t>
            </w:r>
          </w:p>
        </w:tc>
        <w:tc>
          <w:tcPr>
            <w:tcW w:type="dxa" w:w="792"/>
          </w:tcPr>
          <w:p>
            <w:r/>
            <w:r>
              <w:rPr>
                <w:sz w:val="15"/>
              </w:rPr>
              <w:t>Medium</w:t>
            </w:r>
          </w:p>
        </w:tc>
        <w:tc>
          <w:tcPr>
            <w:tcW w:type="dxa" w:w="576"/>
          </w:tcPr>
          <w:p>
            <w:r/>
            <w:r>
              <w:rPr>
                <w:sz w:val="15"/>
              </w:rPr>
              <w:t>M</w:t>
            </w:r>
          </w:p>
        </w:tc>
        <w:tc>
          <w:tcPr>
            <w:tcW w:type="dxa" w:w="1800"/>
          </w:tcPr>
          <w:p>
            <w:r/>
            <w:r>
              <w:rPr>
                <w:sz w:val="15"/>
              </w:rPr>
              <w:t>All tenants (post-soak)</w:t>
            </w:r>
          </w:p>
        </w:tc>
        <w:tc>
          <w:tcPr>
            <w:tcW w:type="dxa" w:w="792"/>
          </w:tcPr>
          <w:p>
            <w:r/>
            <w:r>
              <w:rPr>
                <w:sz w:val="15"/>
              </w:rPr>
              <w:t>YES (cleanup)</w:t>
            </w:r>
          </w:p>
        </w:tc>
      </w:tr>
      <w:tr>
        <w:tc>
          <w:tcPr>
            <w:tcW w:type="dxa" w:w="3600"/>
            <w:shd w:val="clear" w:color="auto" w:fill="F2F4F8"/>
          </w:tcPr>
          <w:p>
            <w:r/>
            <w:r>
              <w:rPr>
                <w:sz w:val="15"/>
              </w:rPr>
              <w:t>Role inheritance from base templates (stop re-listing perms per role)</w:t>
            </w:r>
          </w:p>
        </w:tc>
        <w:tc>
          <w:tcPr>
            <w:tcW w:type="dxa" w:w="720"/>
            <w:shd w:val="clear" w:color="auto" w:fill="F8E3E3"/>
          </w:tcPr>
          <w:p>
            <w:r/>
            <w:r>
              <w:rPr>
                <w:sz w:val="15"/>
              </w:rPr>
              <w:t>LT</w:t>
            </w:r>
          </w:p>
        </w:tc>
        <w:tc>
          <w:tcPr>
            <w:tcW w:type="dxa" w:w="1872"/>
            <w:shd w:val="clear" w:color="auto" w:fill="F2F4F8"/>
          </w:tcPr>
          <w:p>
            <w:r/>
            <w:r>
              <w:rPr>
                <w:sz w:val="15"/>
              </w:rPr>
              <w:t>Lower long-term maintenance</w:t>
            </w:r>
          </w:p>
        </w:tc>
        <w:tc>
          <w:tcPr>
            <w:tcW w:type="dxa" w:w="792"/>
            <w:shd w:val="clear" w:color="auto" w:fill="F2F4F8"/>
          </w:tcPr>
          <w:p>
            <w:r/>
            <w:r>
              <w:rPr>
                <w:sz w:val="15"/>
              </w:rPr>
              <w:t>Medium</w:t>
            </w:r>
          </w:p>
        </w:tc>
        <w:tc>
          <w:tcPr>
            <w:tcW w:type="dxa" w:w="576"/>
            <w:shd w:val="clear" w:color="auto" w:fill="F2F4F8"/>
          </w:tcPr>
          <w:p>
            <w:r/>
            <w:r>
              <w:rPr>
                <w:sz w:val="15"/>
              </w:rPr>
              <w:t>L</w:t>
            </w:r>
          </w:p>
        </w:tc>
        <w:tc>
          <w:tcPr>
            <w:tcW w:type="dxa" w:w="1800"/>
            <w:shd w:val="clear" w:color="auto" w:fill="F2F4F8"/>
          </w:tcPr>
          <w:p>
            <w:r/>
            <w:r>
              <w:rPr>
                <w:sz w:val="15"/>
              </w:rPr>
              <w:t>None (internal model)</w:t>
            </w:r>
          </w:p>
        </w:tc>
        <w:tc>
          <w:tcPr>
            <w:tcW w:type="dxa" w:w="792"/>
            <w:shd w:val="clear" w:color="auto" w:fill="F2F4F8"/>
          </w:tcPr>
          <w:p>
            <w:r/>
            <w:r>
              <w:rPr>
                <w:sz w:val="15"/>
              </w:rPr>
              <w:t>Maybe</w:t>
            </w:r>
          </w:p>
        </w:tc>
      </w:tr>
      <w:tr>
        <w:tc>
          <w:tcPr>
            <w:tcW w:type="dxa" w:w="3600"/>
          </w:tcPr>
          <w:p>
            <w:r/>
            <w:r>
              <w:rPr>
                <w:sz w:val="15"/>
              </w:rPr>
              <w:t>Archetype-driven module sets (type inherits archetype, adds vertical)</w:t>
            </w:r>
          </w:p>
        </w:tc>
        <w:tc>
          <w:tcPr>
            <w:tcW w:type="dxa" w:w="720"/>
            <w:shd w:val="clear" w:color="auto" w:fill="F8E3E3"/>
          </w:tcPr>
          <w:p>
            <w:r/>
            <w:r>
              <w:rPr>
                <w:sz w:val="15"/>
              </w:rPr>
              <w:t>LT</w:t>
            </w:r>
          </w:p>
        </w:tc>
        <w:tc>
          <w:tcPr>
            <w:tcW w:type="dxa" w:w="1872"/>
          </w:tcPr>
          <w:p>
            <w:r/>
            <w:r>
              <w:rPr>
                <w:sz w:val="15"/>
              </w:rPr>
              <w:t>Cleanest taxonomy</w:t>
            </w:r>
          </w:p>
        </w:tc>
        <w:tc>
          <w:tcPr>
            <w:tcW w:type="dxa" w:w="792"/>
          </w:tcPr>
          <w:p>
            <w:r/>
            <w:r>
              <w:rPr>
                <w:sz w:val="15"/>
              </w:rPr>
              <w:t>High</w:t>
            </w:r>
          </w:p>
        </w:tc>
        <w:tc>
          <w:tcPr>
            <w:tcW w:type="dxa" w:w="576"/>
          </w:tcPr>
          <w:p>
            <w:r/>
            <w:r>
              <w:rPr>
                <w:sz w:val="15"/>
              </w:rPr>
              <w:t>L</w:t>
            </w:r>
          </w:p>
        </w:tc>
        <w:tc>
          <w:tcPr>
            <w:tcW w:type="dxa" w:w="1800"/>
          </w:tcPr>
          <w:p>
            <w:r/>
            <w:r>
              <w:rPr>
                <w:sz w:val="15"/>
              </w:rPr>
              <w:t>Internal; tenant-invisible</w:t>
            </w:r>
          </w:p>
        </w:tc>
        <w:tc>
          <w:tcPr>
            <w:tcW w:type="dxa" w:w="792"/>
          </w:tcPr>
          <w:p>
            <w:r/>
            <w:r>
              <w:rPr>
                <w:sz w:val="15"/>
              </w:rPr>
              <w:t>Maybe</w:t>
            </w:r>
          </w:p>
        </w:tc>
      </w:tr>
      <w:tr>
        <w:tc>
          <w:tcPr>
            <w:tcW w:type="dxa" w:w="3600"/>
            <w:shd w:val="clear" w:color="auto" w:fill="F2F4F8"/>
          </w:tcPr>
          <w:p>
            <w:r/>
            <w:r>
              <w:rPr>
                <w:sz w:val="15"/>
              </w:rPr>
              <w:t>First-class engine permissions in code (typed, not flag-only)</w:t>
            </w:r>
          </w:p>
        </w:tc>
        <w:tc>
          <w:tcPr>
            <w:tcW w:type="dxa" w:w="720"/>
            <w:shd w:val="clear" w:color="auto" w:fill="F8E3E3"/>
          </w:tcPr>
          <w:p>
            <w:r/>
            <w:r>
              <w:rPr>
                <w:sz w:val="15"/>
              </w:rPr>
              <w:t>LT</w:t>
            </w:r>
          </w:p>
        </w:tc>
        <w:tc>
          <w:tcPr>
            <w:tcW w:type="dxa" w:w="1872"/>
            <w:shd w:val="clear" w:color="auto" w:fill="F2F4F8"/>
          </w:tcPr>
          <w:p>
            <w:r/>
            <w:r>
              <w:rPr>
                <w:sz w:val="15"/>
              </w:rPr>
              <w:t>Stronger authz model</w:t>
            </w:r>
          </w:p>
        </w:tc>
        <w:tc>
          <w:tcPr>
            <w:tcW w:type="dxa" w:w="792"/>
            <w:shd w:val="clear" w:color="auto" w:fill="F2F4F8"/>
          </w:tcPr>
          <w:p>
            <w:r/>
            <w:r>
              <w:rPr>
                <w:sz w:val="15"/>
              </w:rPr>
              <w:t>Medium</w:t>
            </w:r>
          </w:p>
        </w:tc>
        <w:tc>
          <w:tcPr>
            <w:tcW w:type="dxa" w:w="576"/>
            <w:shd w:val="clear" w:color="auto" w:fill="F2F4F8"/>
          </w:tcPr>
          <w:p>
            <w:r/>
            <w:r>
              <w:rPr>
                <w:sz w:val="15"/>
              </w:rPr>
              <w:t>M</w:t>
            </w:r>
          </w:p>
        </w:tc>
        <w:tc>
          <w:tcPr>
            <w:tcW w:type="dxa" w:w="1800"/>
            <w:shd w:val="clear" w:color="auto" w:fill="F2F4F8"/>
          </w:tcPr>
          <w:p>
            <w:r/>
            <w:r>
              <w:rPr>
                <w:sz w:val="15"/>
              </w:rPr>
              <w:t>None</w:t>
            </w:r>
          </w:p>
        </w:tc>
        <w:tc>
          <w:tcPr>
            <w:tcW w:type="dxa" w:w="792"/>
            <w:shd w:val="clear" w:color="auto" w:fill="F2F4F8"/>
          </w:tcPr>
          <w:p>
            <w:r/>
            <w:r>
              <w:rPr>
                <w:sz w:val="15"/>
              </w:rPr>
              <w:t>No</w:t>
            </w:r>
          </w:p>
        </w:tc>
      </w:tr>
      <w:tr>
        <w:tc>
          <w:tcPr>
            <w:tcW w:type="dxa" w:w="3600"/>
          </w:tcPr>
          <w:p>
            <w:r/>
            <w:r>
              <w:rPr>
                <w:sz w:val="15"/>
              </w:rPr>
              <w:t>MFA / SSO / session permissions (currently a Gap)</w:t>
            </w:r>
          </w:p>
        </w:tc>
        <w:tc>
          <w:tcPr>
            <w:tcW w:type="dxa" w:w="720"/>
            <w:shd w:val="clear" w:color="auto" w:fill="F8E3E3"/>
          </w:tcPr>
          <w:p>
            <w:r/>
            <w:r>
              <w:rPr>
                <w:sz w:val="15"/>
              </w:rPr>
              <w:t>LT</w:t>
            </w:r>
          </w:p>
        </w:tc>
        <w:tc>
          <w:tcPr>
            <w:tcW w:type="dxa" w:w="1872"/>
          </w:tcPr>
          <w:p>
            <w:r/>
            <w:r>
              <w:rPr>
                <w:sz w:val="15"/>
              </w:rPr>
              <w:t>Enterprise security readiness</w:t>
            </w:r>
          </w:p>
        </w:tc>
        <w:tc>
          <w:tcPr>
            <w:tcW w:type="dxa" w:w="792"/>
          </w:tcPr>
          <w:p>
            <w:r/>
            <w:r>
              <w:rPr>
                <w:sz w:val="15"/>
              </w:rPr>
              <w:t>High</w:t>
            </w:r>
          </w:p>
        </w:tc>
        <w:tc>
          <w:tcPr>
            <w:tcW w:type="dxa" w:w="576"/>
          </w:tcPr>
          <w:p>
            <w:r/>
            <w:r>
              <w:rPr>
                <w:sz w:val="15"/>
              </w:rPr>
              <w:t>L</w:t>
            </w:r>
          </w:p>
        </w:tc>
        <w:tc>
          <w:tcPr>
            <w:tcW w:type="dxa" w:w="1800"/>
          </w:tcPr>
          <w:p>
            <w:r/>
            <w:r>
              <w:rPr>
                <w:sz w:val="15"/>
              </w:rPr>
              <w:t>Opt-in per tenant</w:t>
            </w:r>
          </w:p>
        </w:tc>
        <w:tc>
          <w:tcPr>
            <w:tcW w:type="dxa" w:w="792"/>
          </w:tcPr>
          <w:p>
            <w:r/>
            <w:r>
              <w:rPr>
                <w:sz w:val="15"/>
              </w:rPr>
              <w:t>No</w:t>
            </w:r>
          </w:p>
        </w:tc>
      </w:tr>
    </w:tbl>
    <w:p>
      <w:r>
        <w:rPr>
          <w:b w:val="0"/>
          <w:i/>
          <w:color w:val="1A1A1A"/>
          <w:sz w:val="17"/>
        </w:rPr>
        <w:t>Effort: S=days · M=1–2 weeks · L=multi-week. Legend colours: green=Immediate, blue=Post-Pilot, amber=After Paying Customer, red=Long-Term.</w:t>
      </w:r>
    </w:p>
    <w:p>
      <w:r>
        <w:br w:type="page"/>
      </w:r>
    </w:p>
    <w:p>
      <w:pPr>
        <w:pStyle w:val="Title"/>
      </w:pPr>
      <w:r>
        <w:rPr>
          <w:b/>
          <w:color w:val="1F2A44"/>
          <w:sz w:val="38"/>
        </w:rPr>
        <w:t>3. Quick Wins  —  ZERO impact on current functionality</w:t>
      </w:r>
    </w:p>
    <w:p>
      <w:r>
        <w:rPr>
          <w:b/>
          <w:i w:val="0"/>
          <w:color w:val="1B7F3B"/>
          <w:sz w:val="20"/>
        </w:rPr>
        <w:t>These are the recommendations that can be implemented NOW with zero behavioural change for any existing tenant. They are additive, reversible, and invisible to users. This is the single most important section: it is the safe set.</w:t>
      </w:r>
    </w:p>
    <w:p>
      <w:r>
        <w:rPr>
          <w:b/>
          <w:i w:val="0"/>
          <w:color w:val="B46A00"/>
          <w:sz w:val="20"/>
        </w:rPr>
        <w:t>UPDATE (post business-impact review): the original Quick-Win set listed permission ALIASING as zero-impact. The codebase review proved it is NOT — the 'duplicate' families are distinct enforced permissions, so aliasing changes access. It was removed from Quick Wins and reclassified to Phase C. The remaining FOUR were executed.</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F2A44"/>
          </w:tcPr>
          <w:p>
            <w:r/>
            <w:r>
              <w:rPr>
                <w:b/>
                <w:color w:val="FFFFFF"/>
                <w:sz w:val="17"/>
              </w:rPr>
              <w:t>Quick win</w:t>
            </w:r>
          </w:p>
        </w:tc>
        <w:tc>
          <w:tcPr>
            <w:tcW w:type="dxa" w:w="4608"/>
            <w:shd w:val="clear" w:color="auto" w:fill="1F2A44"/>
          </w:tcPr>
          <w:p>
            <w:r/>
            <w:r>
              <w:rPr>
                <w:b/>
                <w:color w:val="FFFFFF"/>
                <w:sz w:val="17"/>
              </w:rPr>
              <w:t>Why it's zero-impact</w:t>
            </w:r>
          </w:p>
        </w:tc>
        <w:tc>
          <w:tcPr>
            <w:tcW w:type="dxa" w:w="1296"/>
            <w:shd w:val="clear" w:color="auto" w:fill="1F2A44"/>
          </w:tcPr>
          <w:p>
            <w:r/>
            <w:r>
              <w:rPr>
                <w:b/>
                <w:color w:val="FFFFFF"/>
                <w:sz w:val="17"/>
              </w:rPr>
              <w:t>Status</w:t>
            </w:r>
          </w:p>
        </w:tc>
      </w:tr>
      <w:tr>
        <w:tc>
          <w:tcPr>
            <w:tcW w:type="dxa" w:w="3600"/>
          </w:tcPr>
          <w:p>
            <w:r/>
            <w:r>
              <w:rPr>
                <w:sz w:val="16"/>
              </w:rPr>
              <w:t>A1 · Remove dead permission keys (change_requests.*, trade_spend.manage)</w:t>
            </w:r>
          </w:p>
        </w:tc>
        <w:tc>
          <w:tcPr>
            <w:tcW w:type="dxa" w:w="4608"/>
          </w:tcPr>
          <w:p>
            <w:r/>
            <w:r>
              <w:rPr>
                <w:sz w:val="16"/>
              </w:rPr>
              <w:t>Not in the code Permission type, granted to no role — removal changes no behaviour</w:t>
            </w:r>
          </w:p>
        </w:tc>
        <w:tc>
          <w:tcPr>
            <w:tcW w:type="dxa" w:w="1296"/>
            <w:shd w:val="clear" w:color="auto" w:fill="E5F2E9"/>
          </w:tcPr>
          <w:p>
            <w:r/>
            <w:r>
              <w:rPr>
                <w:sz w:val="16"/>
              </w:rPr>
              <w:t>✔ DONE</w:t>
            </w:r>
          </w:p>
        </w:tc>
      </w:tr>
      <w:tr>
        <w:tc>
          <w:tcPr>
            <w:tcW w:type="dxa" w:w="3600"/>
            <w:shd w:val="clear" w:color="auto" w:fill="F2F4F8"/>
          </w:tcPr>
          <w:p>
            <w:r/>
            <w:r>
              <w:rPr>
                <w:sz w:val="16"/>
              </w:rPr>
              <w:t>A3 · Bind nav visibility to the same flag the page enforces</w:t>
            </w:r>
          </w:p>
        </w:tc>
        <w:tc>
          <w:tcPr>
            <w:tcW w:type="dxa" w:w="4608"/>
            <w:shd w:val="clear" w:color="auto" w:fill="F2F4F8"/>
          </w:tcPr>
          <w:p>
            <w:r/>
            <w:r>
              <w:rPr>
                <w:sz w:val="16"/>
              </w:rPr>
              <w:t>A screen either shows AND works, or is hidden — strictly better than today's show-then-404</w:t>
            </w:r>
          </w:p>
        </w:tc>
        <w:tc>
          <w:tcPr>
            <w:tcW w:type="dxa" w:w="1296"/>
            <w:shd w:val="clear" w:color="auto" w:fill="E5F2E9"/>
          </w:tcPr>
          <w:p>
            <w:r/>
            <w:r>
              <w:rPr>
                <w:sz w:val="16"/>
              </w:rPr>
              <w:t>✔ DONE</w:t>
            </w:r>
          </w:p>
        </w:tc>
      </w:tr>
      <w:tr>
        <w:tc>
          <w:tcPr>
            <w:tcW w:type="dxa" w:w="3600"/>
          </w:tcPr>
          <w:p>
            <w:r/>
            <w:r>
              <w:rPr>
                <w:sz w:val="16"/>
              </w:rPr>
              <w:t>A4 · Document the 5 archetypes (existing types unchanged)</w:t>
            </w:r>
          </w:p>
        </w:tc>
        <w:tc>
          <w:tcPr>
            <w:tcW w:type="dxa" w:w="4608"/>
          </w:tcPr>
          <w:p>
            <w:r/>
            <w:r>
              <w:rPr>
                <w:sz w:val="16"/>
              </w:rPr>
              <w:t>Existing tenants keep their exact business_type; documentation only</w:t>
            </w:r>
          </w:p>
        </w:tc>
        <w:tc>
          <w:tcPr>
            <w:tcW w:type="dxa" w:w="1296"/>
            <w:shd w:val="clear" w:color="auto" w:fill="E5F2E9"/>
          </w:tcPr>
          <w:p>
            <w:r/>
            <w:r>
              <w:rPr>
                <w:sz w:val="16"/>
              </w:rPr>
              <w:t>✔ DONE</w:t>
            </w:r>
          </w:p>
        </w:tc>
      </w:tr>
      <w:tr>
        <w:tc>
          <w:tcPr>
            <w:tcW w:type="dxa" w:w="3600"/>
            <w:shd w:val="clear" w:color="auto" w:fill="F2F4F8"/>
          </w:tcPr>
          <w:p>
            <w:r/>
            <w:r>
              <w:rPr>
                <w:sz w:val="16"/>
              </w:rPr>
              <w:t>A5 · Catalog the two feature-flag kinds (capability vs kill-switch)</w:t>
            </w:r>
          </w:p>
        </w:tc>
        <w:tc>
          <w:tcPr>
            <w:tcW w:type="dxa" w:w="4608"/>
            <w:shd w:val="clear" w:color="auto" w:fill="F2F4F8"/>
          </w:tcPr>
          <w:p>
            <w:r/>
            <w:r>
              <w:rPr>
                <w:sz w:val="16"/>
              </w:rPr>
              <w:t>Pure classification + documentation; no runtime change</w:t>
            </w:r>
          </w:p>
        </w:tc>
        <w:tc>
          <w:tcPr>
            <w:tcW w:type="dxa" w:w="1296"/>
            <w:shd w:val="clear" w:color="auto" w:fill="E5F2E9"/>
          </w:tcPr>
          <w:p>
            <w:r/>
            <w:r>
              <w:rPr>
                <w:sz w:val="16"/>
              </w:rPr>
              <w:t>✔ DONE</w:t>
            </w:r>
          </w:p>
        </w:tc>
      </w:tr>
      <w:tr>
        <w:tc>
          <w:tcPr>
            <w:tcW w:type="dxa" w:w="3600"/>
            <w:shd w:val="clear" w:color="auto" w:fill="FBF1DD"/>
          </w:tcPr>
          <w:p>
            <w:r/>
            <w:r>
              <w:rPr>
                <w:sz w:val="16"/>
              </w:rPr>
              <w:t>A2 · Permission aliasing — REMOVED FROM QUICK WINS</w:t>
            </w:r>
          </w:p>
        </w:tc>
        <w:tc>
          <w:tcPr>
            <w:tcW w:type="dxa" w:w="4608"/>
          </w:tcPr>
          <w:p>
            <w:r/>
            <w:r>
              <w:rPr>
                <w:sz w:val="16"/>
              </w:rPr>
              <w:t>NOT zero-impact: distinct enforced permissions; aliasing widens access</w:t>
            </w:r>
          </w:p>
        </w:tc>
        <w:tc>
          <w:tcPr>
            <w:tcW w:type="dxa" w:w="1296"/>
            <w:shd w:val="clear" w:color="auto" w:fill="FBF1DD"/>
          </w:tcPr>
          <w:p>
            <w:r/>
            <w:r>
              <w:rPr>
                <w:sz w:val="16"/>
              </w:rPr>
              <w:t>⟶ Phase C</w:t>
            </w:r>
          </w:p>
        </w:tc>
      </w:tr>
    </w:tbl>
    <w:p>
      <w:r>
        <w:rPr>
          <w:b/>
          <w:i w:val="0"/>
          <w:color w:val="1A1A1A"/>
          <w:sz w:val="20"/>
        </w:rPr>
        <w:t>Founder decision (executed): A1, A3, A4, A5 shipped as the governance-hygiene batch — tests 1314 passing, build green, zero behavioural change to existing tenants. A2 held for Phase C with a migration plan. No role, business type, permission family, or tenant was changed.</w:t>
      </w:r>
    </w:p>
    <w:p>
      <w:r>
        <w:br w:type="page"/>
      </w:r>
    </w:p>
    <w:p>
      <w:pPr>
        <w:pStyle w:val="Title"/>
      </w:pPr>
      <w:r>
        <w:rPr>
          <w:b/>
          <w:color w:val="1F2A44"/>
          <w:sz w:val="38"/>
        </w:rPr>
        <w:t>4. High-Risk Changes  —  gate behind real customer data</w:t>
      </w:r>
    </w:p>
    <w:p>
      <w:r>
        <w:rPr>
          <w:b/>
          <w:i w:val="0"/>
          <w:color w:val="B31B1B"/>
          <w:sz w:val="20"/>
        </w:rPr>
        <w:t>These deliver the largest taxonomy reduction but carry real risk because they touch live role assignments or a tenant's business_type. They REQUIRE data migration and must not be attempted during the pilot.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1F2A44"/>
          </w:tcPr>
          <w:p>
            <w:r/>
            <w:r>
              <w:rPr>
                <w:b/>
                <w:color w:val="FFFFFF"/>
                <w:sz w:val="17"/>
              </w:rPr>
              <w:t>Change</w:t>
            </w:r>
          </w:p>
        </w:tc>
        <w:tc>
          <w:tcPr>
            <w:tcW w:type="dxa" w:w="1008"/>
            <w:shd w:val="clear" w:color="auto" w:fill="1F2A44"/>
          </w:tcPr>
          <w:p>
            <w:r/>
            <w:r>
              <w:rPr>
                <w:b/>
                <w:color w:val="FFFFFF"/>
                <w:sz w:val="17"/>
              </w:rPr>
              <w:t>Risk</w:t>
            </w:r>
          </w:p>
        </w:tc>
        <w:tc>
          <w:tcPr>
            <w:tcW w:type="dxa" w:w="3456"/>
            <w:shd w:val="clear" w:color="auto" w:fill="1F2A44"/>
          </w:tcPr>
          <w:p>
            <w:r/>
            <w:r>
              <w:rPr>
                <w:b/>
                <w:color w:val="FFFFFF"/>
                <w:sz w:val="17"/>
              </w:rPr>
              <w:t>Why risky</w:t>
            </w:r>
          </w:p>
        </w:tc>
        <w:tc>
          <w:tcPr>
            <w:tcW w:type="dxa" w:w="2880"/>
            <w:shd w:val="clear" w:color="auto" w:fill="1F2A44"/>
          </w:tcPr>
          <w:p>
            <w:r/>
            <w:r>
              <w:rPr>
                <w:b/>
                <w:color w:val="FFFFFF"/>
                <w:sz w:val="17"/>
              </w:rPr>
              <w:t>Precondition before starting</w:t>
            </w:r>
          </w:p>
        </w:tc>
      </w:tr>
      <w:tr>
        <w:tc>
          <w:tcPr>
            <w:tcW w:type="dxa" w:w="2880"/>
          </w:tcPr>
          <w:p>
            <w:r/>
            <w:r>
              <w:rPr>
                <w:sz w:val="16"/>
              </w:rPr>
              <w:t>Retire 5 management role tiers → Manager + scope</w:t>
            </w:r>
          </w:p>
        </w:tc>
        <w:tc>
          <w:tcPr>
            <w:tcW w:type="dxa" w:w="1008"/>
            <w:shd w:val="clear" w:color="auto" w:fill="F8E3E3"/>
          </w:tcPr>
          <w:p>
            <w:r/>
            <w:r>
              <w:rPr>
                <w:sz w:val="16"/>
              </w:rPr>
              <w:t>High</w:t>
            </w:r>
          </w:p>
        </w:tc>
        <w:tc>
          <w:tcPr>
            <w:tcW w:type="dxa" w:w="3456"/>
          </w:tcPr>
          <w:p>
            <w:r/>
            <w:r>
              <w:rPr>
                <w:sz w:val="16"/>
              </w:rPr>
              <w:t>Existing users hold area/regional/national/sales_director/branch roles; remapping can change who can approve/see what</w:t>
            </w:r>
          </w:p>
        </w:tc>
        <w:tc>
          <w:tcPr>
            <w:tcW w:type="dxa" w:w="2880"/>
          </w:tcPr>
          <w:p>
            <w:r/>
            <w:r>
              <w:rPr>
                <w:sz w:val="16"/>
              </w:rPr>
              <w:t>After first paying customer; snapshot + reversible migration + per-tenant validation</w:t>
            </w:r>
          </w:p>
        </w:tc>
      </w:tr>
      <w:tr>
        <w:tc>
          <w:tcPr>
            <w:tcW w:type="dxa" w:w="2880"/>
            <w:shd w:val="clear" w:color="auto" w:fill="F2F4F8"/>
          </w:tcPr>
          <w:p>
            <w:r/>
            <w:r>
              <w:rPr>
                <w:sz w:val="16"/>
              </w:rPr>
              <w:t>Migrate business_type → archetype + vertical label</w:t>
            </w:r>
          </w:p>
        </w:tc>
        <w:tc>
          <w:tcPr>
            <w:tcW w:type="dxa" w:w="1008"/>
            <w:shd w:val="clear" w:color="auto" w:fill="F8E3E3"/>
          </w:tcPr>
          <w:p>
            <w:r/>
            <w:r>
              <w:rPr>
                <w:sz w:val="16"/>
              </w:rPr>
              <w:t>High</w:t>
            </w:r>
          </w:p>
        </w:tc>
        <w:tc>
          <w:tcPr>
            <w:tcW w:type="dxa" w:w="3456"/>
            <w:shd w:val="clear" w:color="auto" w:fill="F2F4F8"/>
          </w:tcPr>
          <w:p>
            <w:r/>
            <w:r>
              <w:rPr>
                <w:sz w:val="16"/>
              </w:rPr>
              <w:t>business_type drives module sets and home routing; a bad map can hide modules a tenant relies on</w:t>
            </w:r>
          </w:p>
        </w:tc>
        <w:tc>
          <w:tcPr>
            <w:tcW w:type="dxa" w:w="2880"/>
            <w:shd w:val="clear" w:color="auto" w:fill="F2F4F8"/>
          </w:tcPr>
          <w:p>
            <w:r/>
            <w:r>
              <w:rPr>
                <w:sz w:val="16"/>
              </w:rPr>
              <w:t>Archetype map proven on new tenants first; dual-read during transition</w:t>
            </w:r>
          </w:p>
        </w:tc>
      </w:tr>
      <w:tr>
        <w:tc>
          <w:tcPr>
            <w:tcW w:type="dxa" w:w="2880"/>
          </w:tcPr>
          <w:p>
            <w:r/>
            <w:r>
              <w:rPr>
                <w:sz w:val="16"/>
              </w:rPr>
              <w:t>Physically delete deduplicated permissions</w:t>
            </w:r>
          </w:p>
        </w:tc>
        <w:tc>
          <w:tcPr>
            <w:tcW w:type="dxa" w:w="1008"/>
            <w:shd w:val="clear" w:color="auto" w:fill="FBF1DD"/>
          </w:tcPr>
          <w:p>
            <w:r/>
            <w:r>
              <w:rPr>
                <w:sz w:val="16"/>
              </w:rPr>
              <w:t>Medium-High</w:t>
            </w:r>
          </w:p>
        </w:tc>
        <w:tc>
          <w:tcPr>
            <w:tcW w:type="dxa" w:w="3456"/>
          </w:tcPr>
          <w:p>
            <w:r/>
            <w:r>
              <w:rPr>
                <w:sz w:val="16"/>
              </w:rPr>
              <w:t>If any custom role still references the old key post-alias, a grant could vanish</w:t>
            </w:r>
          </w:p>
        </w:tc>
        <w:tc>
          <w:tcPr>
            <w:tcW w:type="dxa" w:w="2880"/>
          </w:tcPr>
          <w:p>
            <w:r/>
            <w:r>
              <w:rPr>
                <w:sz w:val="16"/>
              </w:rPr>
              <w:t>Alias soak period (≥1 release) + usage scan showing zero references</w:t>
            </w:r>
          </w:p>
        </w:tc>
      </w:tr>
      <w:tr>
        <w:tc>
          <w:tcPr>
            <w:tcW w:type="dxa" w:w="2880"/>
            <w:shd w:val="clear" w:color="auto" w:fill="F2F4F8"/>
          </w:tcPr>
          <w:p>
            <w:r/>
            <w:r>
              <w:rPr>
                <w:sz w:val="16"/>
              </w:rPr>
              <w:t>Role inheritance refactor</w:t>
            </w:r>
          </w:p>
        </w:tc>
        <w:tc>
          <w:tcPr>
            <w:tcW w:type="dxa" w:w="1008"/>
            <w:shd w:val="clear" w:color="auto" w:fill="FBF1DD"/>
          </w:tcPr>
          <w:p>
            <w:r/>
            <w:r>
              <w:rPr>
                <w:sz w:val="16"/>
              </w:rPr>
              <w:t>Medium-High</w:t>
            </w:r>
          </w:p>
        </w:tc>
        <w:tc>
          <w:tcPr>
            <w:tcW w:type="dxa" w:w="3456"/>
            <w:shd w:val="clear" w:color="auto" w:fill="F2F4F8"/>
          </w:tcPr>
          <w:p>
            <w:r/>
            <w:r>
              <w:rPr>
                <w:sz w:val="16"/>
              </w:rPr>
              <w:t>Changes how every role resolves its permissions internally</w:t>
            </w:r>
          </w:p>
        </w:tc>
        <w:tc>
          <w:tcPr>
            <w:tcW w:type="dxa" w:w="2880"/>
            <w:shd w:val="clear" w:color="auto" w:fill="F2F4F8"/>
          </w:tcPr>
          <w:p>
            <w:r/>
            <w:r>
              <w:rPr>
                <w:sz w:val="16"/>
              </w:rPr>
              <w:t>Comprehensive role-permission regression suite green</w:t>
            </w:r>
          </w:p>
        </w:tc>
      </w:tr>
    </w:tbl>
    <w:p>
      <w:r>
        <w:rPr>
          <w:b/>
          <w:i w:val="0"/>
          <w:color w:val="1A1A1A"/>
          <w:sz w:val="20"/>
        </w:rPr>
        <w:t>Founder guidance: none of these are urgent. They are the 'after we have paying customers and real usage telemetry' tier. Each must ship behind a reversible migration with a per-tenant validation gate. Do not bundle them — sequence one at a time.</w:t>
      </w:r>
    </w:p>
    <w:p>
      <w:r>
        <w:br w:type="page"/>
      </w:r>
    </w:p>
    <w:p>
      <w:pPr>
        <w:pStyle w:val="Title"/>
      </w:pPr>
      <w:r>
        <w:rPr>
          <w:b/>
          <w:color w:val="1F2A44"/>
          <w:sz w:val="38"/>
        </w:rPr>
        <w:t>5. Pilot-Safe Changes</w:t>
      </w:r>
    </w:p>
    <w:p>
      <w:r>
        <w:rPr>
          <w:b w:val="0"/>
          <w:i w:val="0"/>
          <w:color w:val="1A1A1A"/>
          <w:sz w:val="20"/>
        </w:rPr>
        <w:t>What may be touched while the pilot is live without putting pilot feedback at risk. The rule: anything that does not change what a pilot user sees or can do is pilot-safe.</w:t>
      </w:r>
    </w:p>
    <w:tbl>
      <w:tblPr>
        <w:tblStyle w:val="TableGrid"/>
        <w:tblW w:type="auto" w:w="0"/>
        <w:jc w:val="center"/>
        <w:tblLook w:firstColumn="1" w:firstRow="1" w:lastColumn="0" w:lastRow="0" w:noHBand="0" w:noVBand="1" w:val="04A0"/>
      </w:tblPr>
      <w:tblGrid>
        <w:gridCol w:w="4320"/>
        <w:gridCol w:w="4320"/>
      </w:tblGrid>
      <w:tr>
        <w:tc>
          <w:tcPr>
            <w:tcW w:type="dxa" w:w="4896"/>
            <w:shd w:val="clear" w:color="auto" w:fill="1F2A44"/>
          </w:tcPr>
          <w:p>
            <w:r/>
            <w:r>
              <w:rPr>
                <w:b/>
                <w:color w:val="FFFFFF"/>
                <w:sz w:val="17"/>
              </w:rPr>
              <w:t>Pilot-safe (OK during pilot)</w:t>
            </w:r>
          </w:p>
        </w:tc>
        <w:tc>
          <w:tcPr>
            <w:tcW w:type="dxa" w:w="4896"/>
            <w:shd w:val="clear" w:color="auto" w:fill="1F2A44"/>
          </w:tcPr>
          <w:p>
            <w:r/>
            <w:r>
              <w:rPr>
                <w:b/>
                <w:color w:val="FFFFFF"/>
                <w:sz w:val="17"/>
              </w:rPr>
              <w:t>NOT pilot-safe (defer)</w:t>
            </w:r>
          </w:p>
        </w:tc>
      </w:tr>
      <w:tr>
        <w:tc>
          <w:tcPr>
            <w:tcW w:type="dxa" w:w="4896"/>
            <w:shd w:val="clear" w:color="auto" w:fill="E5F2E9"/>
          </w:tcPr>
          <w:p>
            <w:r/>
            <w:r>
              <w:rPr>
                <w:sz w:val="16"/>
              </w:rPr>
              <w:t>All Quick Wins (Section 3)</w:t>
            </w:r>
          </w:p>
        </w:tc>
        <w:tc>
          <w:tcPr>
            <w:tcW w:type="dxa" w:w="4896"/>
            <w:shd w:val="clear" w:color="auto" w:fill="F8E3E3"/>
          </w:tcPr>
          <w:p>
            <w:r/>
            <w:r>
              <w:rPr>
                <w:sz w:val="16"/>
              </w:rPr>
              <w:t>Retiring management role tiers</w:t>
            </w:r>
          </w:p>
        </w:tc>
      </w:tr>
      <w:tr>
        <w:tc>
          <w:tcPr>
            <w:tcW w:type="dxa" w:w="4896"/>
            <w:shd w:val="clear" w:color="auto" w:fill="E5F2E9"/>
          </w:tcPr>
          <w:p>
            <w:r/>
            <w:r>
              <w:rPr>
                <w:sz w:val="16"/>
              </w:rPr>
              <w:t>Dead-key removal</w:t>
            </w:r>
          </w:p>
        </w:tc>
        <w:tc>
          <w:tcPr>
            <w:tcW w:type="dxa" w:w="4896"/>
            <w:shd w:val="clear" w:color="auto" w:fill="F8E3E3"/>
          </w:tcPr>
          <w:p>
            <w:r/>
            <w:r>
              <w:rPr>
                <w:sz w:val="16"/>
              </w:rPr>
              <w:t>Re-scoping existing role assignments</w:t>
            </w:r>
          </w:p>
        </w:tc>
      </w:tr>
      <w:tr>
        <w:tc>
          <w:tcPr>
            <w:tcW w:type="dxa" w:w="4896"/>
            <w:shd w:val="clear" w:color="auto" w:fill="E5F2E9"/>
          </w:tcPr>
          <w:p>
            <w:r/>
            <w:r>
              <w:rPr>
                <w:sz w:val="16"/>
              </w:rPr>
              <w:t>Permission aliasing (additive)</w:t>
            </w:r>
          </w:p>
        </w:tc>
        <w:tc>
          <w:tcPr>
            <w:tcW w:type="dxa" w:w="4896"/>
            <w:shd w:val="clear" w:color="auto" w:fill="F8E3E3"/>
          </w:tcPr>
          <w:p>
            <w:r/>
            <w:r>
              <w:rPr>
                <w:sz w:val="16"/>
              </w:rPr>
              <w:t>Migrating any tenant's business_type</w:t>
            </w:r>
          </w:p>
        </w:tc>
      </w:tr>
      <w:tr>
        <w:tc>
          <w:tcPr>
            <w:tcW w:type="dxa" w:w="4896"/>
            <w:shd w:val="clear" w:color="auto" w:fill="E5F2E9"/>
          </w:tcPr>
          <w:p>
            <w:r/>
            <w:r>
              <w:rPr>
                <w:sz w:val="16"/>
              </w:rPr>
              <w:t>Nav/page flag binding (fixes a bug)</w:t>
            </w:r>
          </w:p>
        </w:tc>
        <w:tc>
          <w:tcPr>
            <w:tcW w:type="dxa" w:w="4896"/>
            <w:shd w:val="clear" w:color="auto" w:fill="F8E3E3"/>
          </w:tcPr>
          <w:p>
            <w:r/>
            <w:r>
              <w:rPr>
                <w:sz w:val="16"/>
              </w:rPr>
              <w:t>Physically deleting permissions</w:t>
            </w:r>
          </w:p>
        </w:tc>
      </w:tr>
      <w:tr>
        <w:tc>
          <w:tcPr>
            <w:tcW w:type="dxa" w:w="4896"/>
            <w:shd w:val="clear" w:color="auto" w:fill="E5F2E9"/>
          </w:tcPr>
          <w:p>
            <w:r/>
            <w:r>
              <w:rPr>
                <w:sz w:val="16"/>
              </w:rPr>
              <w:t>Documentation of archetypes &amp; flag kinds</w:t>
            </w:r>
          </w:p>
        </w:tc>
        <w:tc>
          <w:tcPr>
            <w:tcW w:type="dxa" w:w="4896"/>
            <w:shd w:val="clear" w:color="auto" w:fill="F8E3E3"/>
          </w:tcPr>
          <w:p>
            <w:r/>
            <w:r>
              <w:rPr>
                <w:sz w:val="16"/>
              </w:rPr>
              <w:t>Module nav reorganisation that moves where users click</w:t>
            </w:r>
          </w:p>
        </w:tc>
      </w:tr>
      <w:tr>
        <w:tc>
          <w:tcPr>
            <w:tcW w:type="dxa" w:w="4896"/>
            <w:shd w:val="clear" w:color="auto" w:fill="E5F2E9"/>
          </w:tcPr>
          <w:p>
            <w:r/>
            <w:r>
              <w:rPr>
                <w:sz w:val="16"/>
              </w:rPr>
              <w:t>Curating the new-tenant onboarding picker</w:t>
            </w:r>
          </w:p>
        </w:tc>
        <w:tc>
          <w:tcPr>
            <w:tcW w:type="dxa" w:w="4896"/>
            <w:shd w:val="clear" w:color="auto" w:fill="F8E3E3"/>
          </w:tcPr>
          <w:p>
            <w:r/>
            <w:r>
              <w:rPr>
                <w:sz w:val="16"/>
              </w:rPr>
              <w:t>Anything requiring data migration</w:t>
            </w:r>
          </w:p>
        </w:tc>
      </w:tr>
    </w:tbl>
    <w:p>
      <w:r>
        <w:rPr>
          <w:b w:val="0"/>
          <w:i/>
          <w:color w:val="1A1A1A"/>
          <w:sz w:val="20"/>
        </w:rPr>
        <w:t>Why this split: the pilot's purpose is to gather behavioural feedback. Any change that moves buttons, hides modules, or alters who-can-do-what contaminates that signal. Additive/invisible changes do not.</w:t>
      </w:r>
    </w:p>
    <w:p>
      <w:r>
        <w:br w:type="page"/>
      </w:r>
    </w:p>
    <w:p>
      <w:pPr>
        <w:pStyle w:val="Title"/>
      </w:pPr>
      <w:r>
        <w:rPr>
          <w:b/>
          <w:color w:val="1F2A44"/>
          <w:sz w:val="38"/>
        </w:rPr>
        <w:t>6. Post-Pilot Simplification Plan</w:t>
      </w:r>
    </w:p>
    <w:p>
      <w:r>
        <w:rPr>
          <w:b w:val="0"/>
          <w:i w:val="0"/>
          <w:color w:val="1A1A1A"/>
          <w:sz w:val="20"/>
        </w:rPr>
        <w:t>The sequenced structural work, to begin once the pilot closes and (for the High-Risk tier) the first paying customer is live. Each phase is independently shippable and non-breaking on its own.</w:t>
      </w:r>
    </w:p>
    <w:p>
      <w:pPr>
        <w:pStyle w:val="Heading2"/>
      </w:pPr>
      <w:r>
        <w:rPr>
          <w:b/>
          <w:color w:val="1B4F9E"/>
          <w:sz w:val="22"/>
        </w:rPr>
        <w:t>Phase A — Governance Hygiene (Immediate / pilot-safe)</w:t>
      </w:r>
    </w:p>
    <w:p>
      <w:pPr>
        <w:pStyle w:val="ListBullet"/>
      </w:pPr>
      <w:r>
        <w:rPr>
          <w:b w:val="0"/>
          <w:color w:val="1A1A1A"/>
          <w:sz w:val="19"/>
        </w:rPr>
        <w:t>Ship the Quick Wins batch: dead-key removal, permission aliases, nav/page flag binding, archetype + flag-kind docs.</w:t>
      </w:r>
    </w:p>
    <w:p>
      <w:pPr>
        <w:pStyle w:val="ListBullet"/>
      </w:pPr>
      <w:r>
        <w:rPr>
          <w:b w:val="0"/>
          <w:color w:val="1A1A1A"/>
          <w:sz w:val="19"/>
        </w:rPr>
        <w:t>Outcome: permission overlap eliminated at the alias layer; the show-then-404 class of bug closed. Zero tenant impact.</w:t>
      </w:r>
    </w:p>
    <w:p>
      <w:pPr>
        <w:pStyle w:val="Heading2"/>
      </w:pPr>
      <w:r>
        <w:rPr>
          <w:b/>
          <w:color w:val="1B4F9E"/>
          <w:sz w:val="22"/>
        </w:rPr>
        <w:t>Phase B — Additive Foundations (Post-Pilot)</w:t>
      </w:r>
    </w:p>
    <w:p>
      <w:pPr>
        <w:pStyle w:val="ListBullet"/>
      </w:pPr>
      <w:r>
        <w:rPr>
          <w:b w:val="0"/>
          <w:color w:val="1A1A1A"/>
          <w:sz w:val="19"/>
        </w:rPr>
        <w:t>Introduce the role SCOPE dimension additively (no role retired yet) and stop seeding optional/vertical roles by default.</w:t>
      </w:r>
    </w:p>
    <w:p>
      <w:pPr>
        <w:pStyle w:val="ListBullet"/>
      </w:pPr>
      <w:r>
        <w:rPr>
          <w:b w:val="0"/>
          <w:color w:val="1A1A1A"/>
          <w:sz w:val="19"/>
        </w:rPr>
        <w:t>Curate new-tenant onboarding to the 5 archetypes; new tenants get archetype types, existing tenants unchanged.</w:t>
      </w:r>
    </w:p>
    <w:p>
      <w:pPr>
        <w:pStyle w:val="ListBullet"/>
      </w:pPr>
      <w:r>
        <w:rPr>
          <w:b w:val="0"/>
          <w:color w:val="1A1A1A"/>
          <w:sz w:val="19"/>
        </w:rPr>
        <w:t>Group sales_orders under sales and present change_requests/critical_alerts under workflow/analytics (nav only).</w:t>
      </w:r>
    </w:p>
    <w:p>
      <w:pPr>
        <w:pStyle w:val="ListBullet"/>
      </w:pPr>
      <w:r>
        <w:rPr>
          <w:b w:val="0"/>
          <w:color w:val="1A1A1A"/>
          <w:sz w:val="19"/>
        </w:rPr>
        <w:t>Outcome: new tenants are born simple; existing tenants untouched; foundations laid for the merges.</w:t>
      </w:r>
    </w:p>
    <w:p>
      <w:pPr>
        <w:pStyle w:val="Heading2"/>
      </w:pPr>
      <w:r>
        <w:rPr>
          <w:b/>
          <w:color w:val="1B4F9E"/>
          <w:sz w:val="22"/>
        </w:rPr>
        <w:t>Phase C — Structural Merge (After First Paying Customer)</w:t>
      </w:r>
    </w:p>
    <w:p>
      <w:pPr>
        <w:pStyle w:val="ListBullet"/>
      </w:pPr>
      <w:r>
        <w:rPr>
          <w:b w:val="0"/>
          <w:color w:val="1A1A1A"/>
          <w:sz w:val="19"/>
        </w:rPr>
        <w:t>Retire the 5 management role tiers into Manager + scope, with a reversible per-tenant migration and validation gate.</w:t>
      </w:r>
    </w:p>
    <w:p>
      <w:pPr>
        <w:pStyle w:val="ListBullet"/>
      </w:pPr>
      <w:r>
        <w:rPr>
          <w:b w:val="0"/>
          <w:color w:val="1A1A1A"/>
          <w:sz w:val="19"/>
        </w:rPr>
        <w:t>Migrate existing tenants' business_type to archetype + label using the map proven on new tenants in Phase B.</w:t>
      </w:r>
    </w:p>
    <w:p>
      <w:pPr>
        <w:pStyle w:val="ListBullet"/>
      </w:pPr>
      <w:r>
        <w:rPr>
          <w:b w:val="0"/>
          <w:color w:val="1A1A1A"/>
          <w:sz w:val="19"/>
        </w:rPr>
        <w:t>After the alias soak, physically remove the deduplicated permissions once a usage scan shows zero references.</w:t>
      </w:r>
    </w:p>
    <w:p>
      <w:pPr>
        <w:pStyle w:val="ListBullet"/>
      </w:pPr>
      <w:r>
        <w:rPr>
          <w:b w:val="0"/>
          <w:color w:val="1A1A1A"/>
          <w:sz w:val="19"/>
        </w:rPr>
        <w:t>Outcome: the real count reductions land — roles 27→~8+scope, business types 21→~5, permissions 91→~60.</w:t>
      </w:r>
    </w:p>
    <w:p>
      <w:pPr>
        <w:pStyle w:val="Heading2"/>
      </w:pPr>
      <w:r>
        <w:rPr>
          <w:b/>
          <w:color w:val="1B4F9E"/>
          <w:sz w:val="22"/>
        </w:rPr>
        <w:t>Phase D — Long-Term Architecture</w:t>
      </w:r>
    </w:p>
    <w:p>
      <w:pPr>
        <w:pStyle w:val="ListBullet"/>
      </w:pPr>
      <w:r>
        <w:rPr>
          <w:b w:val="0"/>
          <w:color w:val="1A1A1A"/>
          <w:sz w:val="19"/>
        </w:rPr>
        <w:t>Role inheritance from base templates; archetype-driven module inheritance; first-class engine permissions; MFA/SSO.</w:t>
      </w:r>
    </w:p>
    <w:p>
      <w:pPr>
        <w:pStyle w:val="ListBullet"/>
      </w:pPr>
      <w:r>
        <w:rPr>
          <w:b w:val="0"/>
          <w:color w:val="1A1A1A"/>
          <w:sz w:val="19"/>
        </w:rPr>
        <w:t>Outcome: lowest long-term maintenance surface; enterprise security readiness.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F2A44"/>
          </w:tcPr>
          <w:p>
            <w:r/>
            <w:r>
              <w:rPr>
                <w:b/>
                <w:color w:val="FFFFFF"/>
                <w:sz w:val="17"/>
              </w:rPr>
              <w:t>Phase</w:t>
            </w:r>
          </w:p>
        </w:tc>
        <w:tc>
          <w:tcPr>
            <w:tcW w:type="dxa" w:w="2880"/>
            <w:shd w:val="clear" w:color="auto" w:fill="1F2A44"/>
          </w:tcPr>
          <w:p>
            <w:r/>
            <w:r>
              <w:rPr>
                <w:b/>
                <w:color w:val="FFFFFF"/>
                <w:sz w:val="17"/>
              </w:rPr>
              <w:t>Trigger</w:t>
            </w:r>
          </w:p>
        </w:tc>
        <w:tc>
          <w:tcPr>
            <w:tcW w:type="dxa" w:w="2304"/>
            <w:shd w:val="clear" w:color="auto" w:fill="1F2A44"/>
          </w:tcPr>
          <w:p>
            <w:r/>
            <w:r>
              <w:rPr>
                <w:b/>
                <w:color w:val="FFFFFF"/>
                <w:sz w:val="17"/>
              </w:rPr>
              <w:t>Touches tenants?</w:t>
            </w:r>
          </w:p>
        </w:tc>
        <w:tc>
          <w:tcPr>
            <w:tcW w:type="dxa" w:w="2016"/>
            <w:shd w:val="clear" w:color="auto" w:fill="1F2A44"/>
          </w:tcPr>
          <w:p>
            <w:r/>
            <w:r>
              <w:rPr>
                <w:b/>
                <w:color w:val="FFFFFF"/>
                <w:sz w:val="17"/>
              </w:rPr>
              <w:t>Migration?</w:t>
            </w:r>
          </w:p>
        </w:tc>
      </w:tr>
      <w:tr>
        <w:tc>
          <w:tcPr>
            <w:tcW w:type="dxa" w:w="2592"/>
          </w:tcPr>
          <w:p>
            <w:r/>
            <w:r>
              <w:rPr>
                <w:sz w:val="16"/>
              </w:rPr>
              <w:t>A — Hygiene</w:t>
            </w:r>
          </w:p>
        </w:tc>
        <w:tc>
          <w:tcPr>
            <w:tcW w:type="dxa" w:w="2880"/>
          </w:tcPr>
          <w:p>
            <w:r/>
            <w:r>
              <w:rPr>
                <w:sz w:val="16"/>
              </w:rPr>
              <w:t>Now / during pilot</w:t>
            </w:r>
          </w:p>
        </w:tc>
        <w:tc>
          <w:tcPr>
            <w:tcW w:type="dxa" w:w="2304"/>
            <w:shd w:val="clear" w:color="auto" w:fill="E5F2E9"/>
          </w:tcPr>
          <w:p>
            <w:r/>
            <w:r>
              <w:rPr>
                <w:sz w:val="16"/>
              </w:rPr>
              <w:t>No</w:t>
            </w:r>
          </w:p>
        </w:tc>
        <w:tc>
          <w:tcPr>
            <w:tcW w:type="dxa" w:w="2016"/>
          </w:tcPr>
          <w:p>
            <w:r/>
            <w:r>
              <w:rPr>
                <w:sz w:val="16"/>
              </w:rPr>
              <w:t>No</w:t>
            </w:r>
          </w:p>
        </w:tc>
      </w:tr>
      <w:tr>
        <w:tc>
          <w:tcPr>
            <w:tcW w:type="dxa" w:w="2592"/>
            <w:shd w:val="clear" w:color="auto" w:fill="F2F4F8"/>
          </w:tcPr>
          <w:p>
            <w:r/>
            <w:r>
              <w:rPr>
                <w:sz w:val="16"/>
              </w:rPr>
              <w:t>B — Foundations</w:t>
            </w:r>
          </w:p>
        </w:tc>
        <w:tc>
          <w:tcPr>
            <w:tcW w:type="dxa" w:w="2880"/>
            <w:shd w:val="clear" w:color="auto" w:fill="F2F4F8"/>
          </w:tcPr>
          <w:p>
            <w:r/>
            <w:r>
              <w:rPr>
                <w:sz w:val="16"/>
              </w:rPr>
              <w:t>Pilot closed</w:t>
            </w:r>
          </w:p>
        </w:tc>
        <w:tc>
          <w:tcPr>
            <w:tcW w:type="dxa" w:w="2304"/>
            <w:shd w:val="clear" w:color="auto" w:fill="E5ECF7"/>
          </w:tcPr>
          <w:p>
            <w:r/>
            <w:r>
              <w:rPr>
                <w:sz w:val="16"/>
              </w:rPr>
              <w:t>New tenants only</w:t>
            </w:r>
          </w:p>
        </w:tc>
        <w:tc>
          <w:tcPr>
            <w:tcW w:type="dxa" w:w="2016"/>
            <w:shd w:val="clear" w:color="auto" w:fill="F2F4F8"/>
          </w:tcPr>
          <w:p>
            <w:r/>
            <w:r>
              <w:rPr>
                <w:sz w:val="16"/>
              </w:rPr>
              <w:t>No</w:t>
            </w:r>
          </w:p>
        </w:tc>
      </w:tr>
      <w:tr>
        <w:tc>
          <w:tcPr>
            <w:tcW w:type="dxa" w:w="2592"/>
          </w:tcPr>
          <w:p>
            <w:r/>
            <w:r>
              <w:rPr>
                <w:sz w:val="16"/>
              </w:rPr>
              <w:t>C — Structural merge</w:t>
            </w:r>
          </w:p>
        </w:tc>
        <w:tc>
          <w:tcPr>
            <w:tcW w:type="dxa" w:w="2880"/>
          </w:tcPr>
          <w:p>
            <w:r/>
            <w:r>
              <w:rPr>
                <w:sz w:val="16"/>
              </w:rPr>
              <w:t>First paying customer</w:t>
            </w:r>
          </w:p>
        </w:tc>
        <w:tc>
          <w:tcPr>
            <w:tcW w:type="dxa" w:w="2304"/>
            <w:shd w:val="clear" w:color="auto" w:fill="FBF1DD"/>
          </w:tcPr>
          <w:p>
            <w:r/>
            <w:r>
              <w:rPr>
                <w:sz w:val="16"/>
              </w:rPr>
              <w:t>Yes (reversible)</w:t>
            </w:r>
          </w:p>
        </w:tc>
        <w:tc>
          <w:tcPr>
            <w:tcW w:type="dxa" w:w="2016"/>
          </w:tcPr>
          <w:p>
            <w:r/>
            <w:r>
              <w:rPr>
                <w:sz w:val="16"/>
              </w:rPr>
              <w:t>Yes</w:t>
            </w:r>
          </w:p>
        </w:tc>
      </w:tr>
      <w:tr>
        <w:tc>
          <w:tcPr>
            <w:tcW w:type="dxa" w:w="2592"/>
            <w:shd w:val="clear" w:color="auto" w:fill="F2F4F8"/>
          </w:tcPr>
          <w:p>
            <w:r/>
            <w:r>
              <w:rPr>
                <w:sz w:val="16"/>
              </w:rPr>
              <w:t>D — Long-term</w:t>
            </w:r>
          </w:p>
        </w:tc>
        <w:tc>
          <w:tcPr>
            <w:tcW w:type="dxa" w:w="2880"/>
            <w:shd w:val="clear" w:color="auto" w:fill="F2F4F8"/>
          </w:tcPr>
          <w:p>
            <w:r/>
            <w:r>
              <w:rPr>
                <w:sz w:val="16"/>
              </w:rPr>
              <w:t>Post-scale</w:t>
            </w:r>
          </w:p>
        </w:tc>
        <w:tc>
          <w:tcPr>
            <w:tcW w:type="dxa" w:w="2304"/>
            <w:shd w:val="clear" w:color="auto" w:fill="E5F2E9"/>
          </w:tcPr>
          <w:p>
            <w:r/>
            <w:r>
              <w:rPr>
                <w:sz w:val="16"/>
              </w:rPr>
              <w:t>Internal only</w:t>
            </w:r>
          </w:p>
        </w:tc>
        <w:tc>
          <w:tcPr>
            <w:tcW w:type="dxa" w:w="2016"/>
            <w:shd w:val="clear" w:color="auto" w:fill="F2F4F8"/>
          </w:tcPr>
          <w:p>
            <w:r/>
            <w:r>
              <w:rPr>
                <w:sz w:val="16"/>
              </w:rPr>
              <w:t>Maybe</w:t>
            </w:r>
          </w:p>
        </w:tc>
      </w:tr>
    </w:tbl>
    <w:p>
      <w:r>
        <w:br w:type="page"/>
      </w:r>
    </w:p>
    <w:p>
      <w:pPr>
        <w:pStyle w:val="Title"/>
      </w:pPr>
      <w:r>
        <w:rPr>
          <w:b/>
          <w:color w:val="1F2A44"/>
          <w:sz w:val="38"/>
        </w:rPr>
        <w:t>7. Final Target Architecture Roadmap</w:t>
      </w:r>
    </w:p>
    <w:p>
      <w:r>
        <w:rPr>
          <w:b/>
          <w:i w:val="0"/>
          <w:color w:val="1A1A1A"/>
          <w:sz w:val="20"/>
        </w:rPr>
        <w:t>Where each dimension lands, and the phase that gets it there. Every current capability is preserved.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1F2A44"/>
          </w:tcPr>
          <w:p>
            <w:r/>
            <w:r>
              <w:rPr>
                <w:b/>
                <w:color w:val="FFFFFF"/>
                <w:sz w:val="17"/>
              </w:rPr>
              <w:t>Dimension</w:t>
            </w:r>
          </w:p>
        </w:tc>
        <w:tc>
          <w:tcPr>
            <w:tcW w:type="dxa" w:w="1008"/>
            <w:shd w:val="clear" w:color="auto" w:fill="1F2A44"/>
          </w:tcPr>
          <w:p>
            <w:r/>
            <w:r>
              <w:rPr>
                <w:b/>
                <w:color w:val="FFFFFF"/>
                <w:sz w:val="17"/>
              </w:rPr>
              <w:t>Today</w:t>
            </w:r>
          </w:p>
        </w:tc>
        <w:tc>
          <w:tcPr>
            <w:tcW w:type="dxa" w:w="2880"/>
            <w:shd w:val="clear" w:color="auto" w:fill="1F2A44"/>
          </w:tcPr>
          <w:p>
            <w:r/>
            <w:r>
              <w:rPr>
                <w:b/>
                <w:color w:val="FFFFFF"/>
                <w:sz w:val="17"/>
              </w:rPr>
              <w:t>Target</w:t>
            </w:r>
          </w:p>
        </w:tc>
        <w:tc>
          <w:tcPr>
            <w:tcW w:type="dxa" w:w="2448"/>
            <w:shd w:val="clear" w:color="auto" w:fill="1F2A44"/>
          </w:tcPr>
          <w:p>
            <w:r/>
            <w:r>
              <w:rPr>
                <w:b/>
                <w:color w:val="FFFFFF"/>
                <w:sz w:val="17"/>
              </w:rPr>
              <w:t>Lands in phase</w:t>
            </w:r>
          </w:p>
        </w:tc>
        <w:tc>
          <w:tcPr>
            <w:tcW w:type="dxa" w:w="1296"/>
            <w:shd w:val="clear" w:color="auto" w:fill="1F2A44"/>
          </w:tcPr>
          <w:p>
            <w:r/>
            <w:r>
              <w:rPr>
                <w:b/>
                <w:color w:val="FFFFFF"/>
                <w:sz w:val="17"/>
              </w:rPr>
              <w:t>Migration</w:t>
            </w:r>
          </w:p>
        </w:tc>
      </w:tr>
      <w:tr>
        <w:tc>
          <w:tcPr>
            <w:tcW w:type="dxa" w:w="2304"/>
          </w:tcPr>
          <w:p>
            <w:r/>
            <w:r>
              <w:rPr>
                <w:sz w:val="16"/>
              </w:rPr>
              <w:t>Business Types</w:t>
            </w:r>
          </w:p>
        </w:tc>
        <w:tc>
          <w:tcPr>
            <w:tcW w:type="dxa" w:w="1008"/>
          </w:tcPr>
          <w:p>
            <w:r/>
            <w:r>
              <w:rPr>
                <w:sz w:val="16"/>
              </w:rPr>
              <w:t>21</w:t>
            </w:r>
          </w:p>
        </w:tc>
        <w:tc>
          <w:tcPr>
            <w:tcW w:type="dxa" w:w="2880"/>
            <w:shd w:val="clear" w:color="auto" w:fill="E5F2E9"/>
          </w:tcPr>
          <w:p>
            <w:r/>
            <w:r>
              <w:rPr>
                <w:sz w:val="16"/>
              </w:rPr>
              <w:t>~5 archetypes (+labels)</w:t>
            </w:r>
          </w:p>
        </w:tc>
        <w:tc>
          <w:tcPr>
            <w:tcW w:type="dxa" w:w="2448"/>
          </w:tcPr>
          <w:p>
            <w:r/>
            <w:r>
              <w:rPr>
                <w:sz w:val="16"/>
              </w:rPr>
              <w:t>B (new) → C (existing)</w:t>
            </w:r>
          </w:p>
        </w:tc>
        <w:tc>
          <w:tcPr>
            <w:tcW w:type="dxa" w:w="1296"/>
          </w:tcPr>
          <w:p>
            <w:r/>
            <w:r>
              <w:rPr>
                <w:sz w:val="16"/>
              </w:rPr>
              <w:t>C only</w:t>
            </w:r>
          </w:p>
        </w:tc>
      </w:tr>
      <w:tr>
        <w:tc>
          <w:tcPr>
            <w:tcW w:type="dxa" w:w="2304"/>
            <w:shd w:val="clear" w:color="auto" w:fill="F2F4F8"/>
          </w:tcPr>
          <w:p>
            <w:r/>
            <w:r>
              <w:rPr>
                <w:sz w:val="16"/>
              </w:rPr>
              <w:t>Modules</w:t>
            </w:r>
          </w:p>
        </w:tc>
        <w:tc>
          <w:tcPr>
            <w:tcW w:type="dxa" w:w="1008"/>
            <w:shd w:val="clear" w:color="auto" w:fill="F2F4F8"/>
          </w:tcPr>
          <w:p>
            <w:r/>
            <w:r>
              <w:rPr>
                <w:sz w:val="16"/>
              </w:rPr>
              <w:t>31</w:t>
            </w:r>
          </w:p>
        </w:tc>
        <w:tc>
          <w:tcPr>
            <w:tcW w:type="dxa" w:w="2880"/>
            <w:shd w:val="clear" w:color="auto" w:fill="E5F2E9"/>
          </w:tcPr>
          <w:p>
            <w:r/>
            <w:r>
              <w:rPr>
                <w:sz w:val="16"/>
              </w:rPr>
              <w:t>~24 in 3 tiers</w:t>
            </w:r>
          </w:p>
        </w:tc>
        <w:tc>
          <w:tcPr>
            <w:tcW w:type="dxa" w:w="2448"/>
            <w:shd w:val="clear" w:color="auto" w:fill="F2F4F8"/>
          </w:tcPr>
          <w:p>
            <w:r/>
            <w:r>
              <w:rPr>
                <w:sz w:val="16"/>
              </w:rPr>
              <w:t>B (presentation)</w:t>
            </w:r>
          </w:p>
        </w:tc>
        <w:tc>
          <w:tcPr>
            <w:tcW w:type="dxa" w:w="1296"/>
            <w:shd w:val="clear" w:color="auto" w:fill="F2F4F8"/>
          </w:tcPr>
          <w:p>
            <w:r/>
            <w:r>
              <w:rPr>
                <w:sz w:val="16"/>
              </w:rPr>
              <w:t>No</w:t>
            </w:r>
          </w:p>
        </w:tc>
      </w:tr>
      <w:tr>
        <w:tc>
          <w:tcPr>
            <w:tcW w:type="dxa" w:w="2304"/>
          </w:tcPr>
          <w:p>
            <w:r/>
            <w:r>
              <w:rPr>
                <w:sz w:val="16"/>
              </w:rPr>
              <w:t>Roles</w:t>
            </w:r>
          </w:p>
        </w:tc>
        <w:tc>
          <w:tcPr>
            <w:tcW w:type="dxa" w:w="1008"/>
          </w:tcPr>
          <w:p>
            <w:r/>
            <w:r>
              <w:rPr>
                <w:sz w:val="16"/>
              </w:rPr>
              <w:t>27</w:t>
            </w:r>
          </w:p>
        </w:tc>
        <w:tc>
          <w:tcPr>
            <w:tcW w:type="dxa" w:w="2880"/>
            <w:shd w:val="clear" w:color="auto" w:fill="E5F2E9"/>
          </w:tcPr>
          <w:p>
            <w:r/>
            <w:r>
              <w:rPr>
                <w:sz w:val="16"/>
              </w:rPr>
              <w:t>~8 templates + scope</w:t>
            </w:r>
          </w:p>
        </w:tc>
        <w:tc>
          <w:tcPr>
            <w:tcW w:type="dxa" w:w="2448"/>
          </w:tcPr>
          <w:p>
            <w:r/>
            <w:r>
              <w:rPr>
                <w:sz w:val="16"/>
              </w:rPr>
              <w:t>B (scope) → C (retire tiers)</w:t>
            </w:r>
          </w:p>
        </w:tc>
        <w:tc>
          <w:tcPr>
            <w:tcW w:type="dxa" w:w="1296"/>
          </w:tcPr>
          <w:p>
            <w:r/>
            <w:r>
              <w:rPr>
                <w:sz w:val="16"/>
              </w:rPr>
              <w:t>C only</w:t>
            </w:r>
          </w:p>
        </w:tc>
      </w:tr>
      <w:tr>
        <w:tc>
          <w:tcPr>
            <w:tcW w:type="dxa" w:w="2304"/>
            <w:shd w:val="clear" w:color="auto" w:fill="F2F4F8"/>
          </w:tcPr>
          <w:p>
            <w:r/>
            <w:r>
              <w:rPr>
                <w:sz w:val="16"/>
              </w:rPr>
              <w:t>Permissions (DB)</w:t>
            </w:r>
          </w:p>
        </w:tc>
        <w:tc>
          <w:tcPr>
            <w:tcW w:type="dxa" w:w="1008"/>
            <w:shd w:val="clear" w:color="auto" w:fill="F2F4F8"/>
          </w:tcPr>
          <w:p>
            <w:r/>
            <w:r>
              <w:rPr>
                <w:sz w:val="16"/>
              </w:rPr>
              <w:t>91</w:t>
            </w:r>
          </w:p>
        </w:tc>
        <w:tc>
          <w:tcPr>
            <w:tcW w:type="dxa" w:w="2880"/>
            <w:shd w:val="clear" w:color="auto" w:fill="E5F2E9"/>
          </w:tcPr>
          <w:p>
            <w:r/>
            <w:r>
              <w:rPr>
                <w:sz w:val="16"/>
              </w:rPr>
              <w:t>~60 verb.resource</w:t>
            </w:r>
          </w:p>
        </w:tc>
        <w:tc>
          <w:tcPr>
            <w:tcW w:type="dxa" w:w="2448"/>
            <w:shd w:val="clear" w:color="auto" w:fill="F2F4F8"/>
          </w:tcPr>
          <w:p>
            <w:r/>
            <w:r>
              <w:rPr>
                <w:sz w:val="16"/>
              </w:rPr>
              <w:t>A (alias) → C (delete)</w:t>
            </w:r>
          </w:p>
        </w:tc>
        <w:tc>
          <w:tcPr>
            <w:tcW w:type="dxa" w:w="1296"/>
            <w:shd w:val="clear" w:color="auto" w:fill="F2F4F8"/>
          </w:tcPr>
          <w:p>
            <w:r/>
            <w:r>
              <w:rPr>
                <w:sz w:val="16"/>
              </w:rPr>
              <w:t>C only</w:t>
            </w:r>
          </w:p>
        </w:tc>
      </w:tr>
      <w:tr>
        <w:tc>
          <w:tcPr>
            <w:tcW w:type="dxa" w:w="2304"/>
          </w:tcPr>
          <w:p>
            <w:r/>
            <w:r>
              <w:rPr>
                <w:sz w:val="16"/>
              </w:rPr>
              <w:t>Permission groups</w:t>
            </w:r>
          </w:p>
        </w:tc>
        <w:tc>
          <w:tcPr>
            <w:tcW w:type="dxa" w:w="1008"/>
          </w:tcPr>
          <w:p>
            <w:r/>
            <w:r>
              <w:rPr>
                <w:sz w:val="16"/>
              </w:rPr>
              <w:t>16</w:t>
            </w:r>
          </w:p>
        </w:tc>
        <w:tc>
          <w:tcPr>
            <w:tcW w:type="dxa" w:w="2880"/>
            <w:shd w:val="clear" w:color="auto" w:fill="E5F2E9"/>
          </w:tcPr>
          <w:p>
            <w:r/>
            <w:r>
              <w:rPr>
                <w:sz w:val="16"/>
              </w:rPr>
              <w:t>8 categories</w:t>
            </w:r>
          </w:p>
        </w:tc>
        <w:tc>
          <w:tcPr>
            <w:tcW w:type="dxa" w:w="2448"/>
          </w:tcPr>
          <w:p>
            <w:r/>
            <w:r>
              <w:rPr>
                <w:sz w:val="16"/>
              </w:rPr>
              <w:t>A</w:t>
            </w:r>
          </w:p>
        </w:tc>
        <w:tc>
          <w:tcPr>
            <w:tcW w:type="dxa" w:w="1296"/>
          </w:tcPr>
          <w:p>
            <w:r/>
            <w:r>
              <w:rPr>
                <w:sz w:val="16"/>
              </w:rPr>
              <w:t>No</w:t>
            </w:r>
          </w:p>
        </w:tc>
      </w:tr>
      <w:tr>
        <w:tc>
          <w:tcPr>
            <w:tcW w:type="dxa" w:w="2304"/>
            <w:shd w:val="clear" w:color="auto" w:fill="F2F4F8"/>
          </w:tcPr>
          <w:p>
            <w:r/>
            <w:r>
              <w:rPr>
                <w:sz w:val="16"/>
              </w:rPr>
              <w:t>Feature-flag kinds</w:t>
            </w:r>
          </w:p>
        </w:tc>
        <w:tc>
          <w:tcPr>
            <w:tcW w:type="dxa" w:w="1008"/>
            <w:shd w:val="clear" w:color="auto" w:fill="F2F4F8"/>
          </w:tcPr>
          <w:p>
            <w:r/>
            <w:r>
              <w:rPr>
                <w:sz w:val="16"/>
              </w:rPr>
              <w:t>2 mixed</w:t>
            </w:r>
          </w:p>
        </w:tc>
        <w:tc>
          <w:tcPr>
            <w:tcW w:type="dxa" w:w="2880"/>
            <w:shd w:val="clear" w:color="auto" w:fill="E5F2E9"/>
          </w:tcPr>
          <w:p>
            <w:r/>
            <w:r>
              <w:rPr>
                <w:sz w:val="16"/>
              </w:rPr>
              <w:t>2 separated</w:t>
            </w:r>
          </w:p>
        </w:tc>
        <w:tc>
          <w:tcPr>
            <w:tcW w:type="dxa" w:w="2448"/>
            <w:shd w:val="clear" w:color="auto" w:fill="F2F4F8"/>
          </w:tcPr>
          <w:p>
            <w:r/>
            <w:r>
              <w:rPr>
                <w:sz w:val="16"/>
              </w:rPr>
              <w:t>A</w:t>
            </w:r>
          </w:p>
        </w:tc>
        <w:tc>
          <w:tcPr>
            <w:tcW w:type="dxa" w:w="1296"/>
            <w:shd w:val="clear" w:color="auto" w:fill="F2F4F8"/>
          </w:tcPr>
          <w:p>
            <w:r/>
            <w:r>
              <w:rPr>
                <w:sz w:val="16"/>
              </w:rPr>
              <w:t>No</w:t>
            </w:r>
          </w:p>
        </w:tc>
      </w:tr>
      <w:tr>
        <w:tc>
          <w:tcPr>
            <w:tcW w:type="dxa" w:w="2304"/>
          </w:tcPr>
          <w:p>
            <w:r/>
            <w:r>
              <w:rPr>
                <w:sz w:val="16"/>
              </w:rPr>
              <w:t>Security (MFA/SSO)</w:t>
            </w:r>
          </w:p>
        </w:tc>
        <w:tc>
          <w:tcPr>
            <w:tcW w:type="dxa" w:w="1008"/>
          </w:tcPr>
          <w:p>
            <w:r/>
            <w:r>
              <w:rPr>
                <w:sz w:val="16"/>
              </w:rPr>
              <w:t>Gap</w:t>
            </w:r>
          </w:p>
        </w:tc>
        <w:tc>
          <w:tcPr>
            <w:tcW w:type="dxa" w:w="2880"/>
            <w:shd w:val="clear" w:color="auto" w:fill="E5ECF7"/>
          </w:tcPr>
          <w:p>
            <w:r/>
            <w:r>
              <w:rPr>
                <w:sz w:val="16"/>
              </w:rPr>
              <w:t>First-class</w:t>
            </w:r>
          </w:p>
        </w:tc>
        <w:tc>
          <w:tcPr>
            <w:tcW w:type="dxa" w:w="2448"/>
          </w:tcPr>
          <w:p>
            <w:r/>
            <w:r>
              <w:rPr>
                <w:sz w:val="16"/>
              </w:rPr>
              <w:t>D</w:t>
            </w:r>
          </w:p>
        </w:tc>
        <w:tc>
          <w:tcPr>
            <w:tcW w:type="dxa" w:w="1296"/>
          </w:tcPr>
          <w:p>
            <w:r/>
            <w:r>
              <w:rPr>
                <w:sz w:val="16"/>
              </w:rPr>
              <w:t>No</w:t>
            </w:r>
          </w:p>
        </w:tc>
      </w:tr>
    </w:tbl>
    <w:p>
      <w:pPr>
        <w:pStyle w:val="Heading2"/>
      </w:pPr>
      <w:r>
        <w:rPr>
          <w:b/>
          <w:color w:val="1B4F9E"/>
          <w:sz w:val="22"/>
        </w:rPr>
        <w:t>The one-line sequence</w:t>
      </w:r>
    </w:p>
    <w:p>
      <w:r>
        <w:rPr>
          <w:b/>
          <w:i w:val="0"/>
          <w:color w:val="1F2A44"/>
          <w:sz w:val="20"/>
        </w:rPr>
        <w:t>A (now, zero-impact) → B (post-pilot, new-tenant only) → C (after paying customer, migrated + reversible) → D (long-term). Nothing structural touches a live tenant until Phase C, and even then behind a reversible migration with a per-tenant validation gate.</w:t>
      </w:r>
    </w:p>
    <w:p>
      <w:pPr>
        <w:pStyle w:val="Heading2"/>
      </w:pPr>
      <w:r>
        <w:rPr>
          <w:b/>
          <w:color w:val="1B4F9E"/>
          <w:sz w:val="22"/>
        </w:rPr>
        <w:t>What must NEVER be touched</w:t>
      </w:r>
    </w:p>
    <w:p>
      <w:pPr>
        <w:pStyle w:val="ListBullet"/>
      </w:pPr>
      <w:r>
        <w:rPr>
          <w:b w:val="0"/>
          <w:color w:val="1A1A1A"/>
          <w:sz w:val="19"/>
        </w:rPr>
        <w:t>Platform Owner ↔ Tenant Admin ↔ scoped-role separation (the Provider panel boundary). Correct and load-bearing.</w:t>
      </w:r>
    </w:p>
    <w:p>
      <w:pPr>
        <w:pStyle w:val="ListBullet"/>
      </w:pPr>
      <w:r>
        <w:rPr>
          <w:b w:val="0"/>
          <w:color w:val="1A1A1A"/>
          <w:sz w:val="19"/>
        </w:rPr>
        <w:t>Engine modules as company/business-type driven + kill-switch flag (not plan-gated). Correct design.</w:t>
      </w:r>
    </w:p>
    <w:p>
      <w:pPr>
        <w:pStyle w:val="ListBullet"/>
      </w:pPr>
      <w:r>
        <w:rPr>
          <w:b w:val="0"/>
          <w:color w:val="1A1A1A"/>
          <w:sz w:val="19"/>
        </w:rPr>
        <w:t>Core ERP modules as plan-licensable entitlements. Correct.</w:t>
      </w:r>
    </w:p>
    <w:p>
      <w:pPr>
        <w:pStyle w:val="ListBullet"/>
      </w:pPr>
      <w:r>
        <w:rPr>
          <w:b w:val="0"/>
          <w:color w:val="1A1A1A"/>
          <w:sz w:val="19"/>
        </w:rPr>
        <w:t>Tenant data isolation / RLS. Never weaken for the sake of taxonomy simplification.</w:t>
      </w:r>
    </w:p>
    <w:p>
      <w:r>
        <w:rPr>
          <w:b w:val="0"/>
          <w:i w:val="0"/>
          <w:color w:val="1A1A1A"/>
          <w:sz w:val="20"/>
        </w:rPr>
      </w:r>
    </w:p>
    <w:p>
      <w:r>
        <w:rPr>
          <w:b/>
          <w:i w:val="0"/>
          <w:color w:val="1F2A44"/>
          <w:sz w:val="20"/>
        </w:rPr>
        <w:t>Founder takeaway: approve Phase A now (zero risk, real cleanup), let the pilot run undisturbed, and hold every structural merge until you have a paying customer and a reversible migration. This roadmap simplifies VANTORA by roughly half its taxonomy surface without ever putting a live tenant at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