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2A44"/>
          <w:sz w:val="76"/>
        </w:rPr>
        <w:t>VANTORA</w:t>
      </w:r>
    </w:p>
    <w:p>
      <w:pPr>
        <w:jc w:val="center"/>
      </w:pPr>
      <w:r>
        <w:rPr>
          <w:b/>
          <w:color w:val="1F2A44"/>
          <w:sz w:val="40"/>
        </w:rPr>
        <w:t>Phase A — Completion Report</w:t>
      </w:r>
    </w:p>
    <w:p>
      <w:pPr>
        <w:jc w:val="center"/>
      </w:pPr>
      <w:r>
        <w:rPr>
          <w:color w:val="555555"/>
          <w:sz w:val="24"/>
        </w:rPr>
        <w:t>Governance Hygiene · Before/After validation · Tests + Build</w:t>
      </w:r>
    </w:p>
    <w:p/>
    <w:p/>
    <w:p>
      <w:pPr>
        <w:jc w:val="center"/>
      </w:pPr>
      <w:r>
        <w:rPr>
          <w:i/>
          <w:color w:val="555555"/>
          <w:sz w:val="18"/>
        </w:rPr>
        <w:t>Branch: claude/fmcg-sell-collect-loop · 4 of 5 items executed · A2 reclassified to Phase C · June 2026</w:t>
      </w:r>
    </w:p>
    <w:p>
      <w:r>
        <w:br w:type="page"/>
      </w:r>
    </w:p>
    <w:p>
      <w:pPr>
        <w:pStyle w:val="Heading1"/>
      </w:pPr>
      <w:r>
        <w:rPr>
          <w:b/>
          <w:color w:val="1F2A44"/>
          <w:sz w:val="28"/>
        </w:rPr>
        <w:t>1. Executive summary</w:t>
      </w:r>
    </w:p>
    <w:p>
      <w:r>
        <w:rPr>
          <w:b/>
          <w:i w:val="0"/>
          <w:color w:val="1A1A1A"/>
          <w:sz w:val="20"/>
        </w:rPr>
        <w:t>Phase A (Governance Hygiene) is complete. Four zero-impact items were executed and verified; one (A2, permission consolidation) was correctly reclassified to Phase C after the business-impact review proved it would change access. The full test suite (1314 passing) and the production build (green) confirm no behavioural change to any existing tenant. No role, business type, permission family, or tenant was modified.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720"/>
            <w:shd w:val="clear" w:color="auto" w:fill="1F2A44"/>
          </w:tcPr>
          <w:p>
            <w:r/>
            <w:r>
              <w:rPr>
                <w:b/>
                <w:color w:val="FFFFFF"/>
                <w:sz w:val="17"/>
              </w:rPr>
              <w:t>Item</w:t>
            </w:r>
          </w:p>
        </w:tc>
        <w:tc>
          <w:tcPr>
            <w:tcW w:type="dxa" w:w="5328"/>
            <w:shd w:val="clear" w:color="auto" w:fill="1F2A44"/>
          </w:tcPr>
          <w:p>
            <w:r/>
            <w:r>
              <w:rPr>
                <w:b/>
                <w:color w:val="FFFFFF"/>
                <w:sz w:val="17"/>
              </w:rPr>
              <w:t>What shipped</w:t>
            </w:r>
          </w:p>
        </w:tc>
        <w:tc>
          <w:tcPr>
            <w:tcW w:type="dxa" w:w="1008"/>
            <w:shd w:val="clear" w:color="auto" w:fill="1F2A44"/>
          </w:tcPr>
          <w:p>
            <w:r/>
            <w:r>
              <w:rPr>
                <w:b/>
                <w:color w:val="FFFFFF"/>
                <w:sz w:val="17"/>
              </w:rPr>
              <w:t>Type</w:t>
            </w:r>
          </w:p>
        </w:tc>
        <w:tc>
          <w:tcPr>
            <w:tcW w:type="dxa" w:w="1296"/>
            <w:shd w:val="clear" w:color="auto" w:fill="1F2A44"/>
          </w:tcPr>
          <w:p>
            <w:r/>
            <w:r>
              <w:rPr>
                <w:b/>
                <w:color w:val="FFFFFF"/>
                <w:sz w:val="17"/>
              </w:rPr>
              <w:t>Status</w:t>
            </w:r>
          </w:p>
        </w:tc>
      </w:tr>
      <w:tr>
        <w:tc>
          <w:tcPr>
            <w:tcW w:type="dxa" w:w="720"/>
          </w:tcPr>
          <w:p>
            <w:r/>
            <w:r>
              <w:rPr>
                <w:sz w:val="16"/>
              </w:rPr>
              <w:t>A1</w:t>
            </w:r>
          </w:p>
        </w:tc>
        <w:tc>
          <w:tcPr>
            <w:tcW w:type="dxa" w:w="5328"/>
          </w:tcPr>
          <w:p>
            <w:r/>
            <w:r>
              <w:rPr>
                <w:sz w:val="16"/>
              </w:rPr>
              <w:t>Removed inert engine permission keys from the entitlement map</w:t>
            </w:r>
          </w:p>
        </w:tc>
        <w:tc>
          <w:tcPr>
            <w:tcW w:type="dxa" w:w="1008"/>
          </w:tcPr>
          <w:p>
            <w:r/>
            <w:r>
              <w:rPr>
                <w:sz w:val="16"/>
              </w:rPr>
              <w:t>Code</w:t>
            </w:r>
          </w:p>
        </w:tc>
        <w:tc>
          <w:tcPr>
            <w:tcW w:type="dxa" w:w="1296"/>
            <w:shd w:val="clear" w:color="auto" w:fill="E5F2E9"/>
          </w:tcPr>
          <w:p>
            <w:r/>
            <w:r>
              <w:rPr>
                <w:sz w:val="16"/>
              </w:rPr>
              <w:t>✔ DONE</w:t>
            </w:r>
          </w:p>
        </w:tc>
      </w:tr>
      <w:tr>
        <w:tc>
          <w:tcPr>
            <w:tcW w:type="dxa" w:w="720"/>
            <w:shd w:val="clear" w:color="auto" w:fill="F2F4F8"/>
          </w:tcPr>
          <w:p>
            <w:r/>
            <w:r>
              <w:rPr>
                <w:sz w:val="16"/>
              </w:rPr>
              <w:t>A2</w:t>
            </w:r>
          </w:p>
        </w:tc>
        <w:tc>
          <w:tcPr>
            <w:tcW w:type="dxa" w:w="5328"/>
            <w:shd w:val="clear" w:color="auto" w:fill="F2F4F8"/>
          </w:tcPr>
          <w:p>
            <w:r/>
            <w:r>
              <w:rPr>
                <w:sz w:val="16"/>
              </w:rPr>
              <w:t>Permission consolidation — held; reclassified to Phase C</w:t>
            </w:r>
          </w:p>
        </w:tc>
        <w:tc>
          <w:tcPr>
            <w:tcW w:type="dxa" w:w="1008"/>
            <w:shd w:val="clear" w:color="auto" w:fill="F2F4F8"/>
          </w:tcPr>
          <w:p>
            <w:r/>
            <w:r>
              <w:rPr>
                <w:sz w:val="16"/>
              </w:rPr>
              <w:t>—</w:t>
            </w:r>
          </w:p>
        </w:tc>
        <w:tc>
          <w:tcPr>
            <w:tcW w:type="dxa" w:w="1296"/>
            <w:shd w:val="clear" w:color="auto" w:fill="FBF1DD"/>
          </w:tcPr>
          <w:p>
            <w:r/>
            <w:r>
              <w:rPr>
                <w:sz w:val="16"/>
              </w:rPr>
              <w:t>⟶ Phase C</w:t>
            </w:r>
          </w:p>
        </w:tc>
      </w:tr>
      <w:tr>
        <w:tc>
          <w:tcPr>
            <w:tcW w:type="dxa" w:w="720"/>
          </w:tcPr>
          <w:p>
            <w:r/>
            <w:r>
              <w:rPr>
                <w:sz w:val="16"/>
              </w:rPr>
              <w:t>A3</w:t>
            </w:r>
          </w:p>
        </w:tc>
        <w:tc>
          <w:tcPr>
            <w:tcW w:type="dxa" w:w="5328"/>
          </w:tcPr>
          <w:p>
            <w:r/>
            <w:r>
              <w:rPr>
                <w:sz w:val="16"/>
              </w:rPr>
              <w:t>Bound nav visibility to the page's flag (no show-then-404)</w:t>
            </w:r>
          </w:p>
        </w:tc>
        <w:tc>
          <w:tcPr>
            <w:tcW w:type="dxa" w:w="1008"/>
          </w:tcPr>
          <w:p>
            <w:r/>
            <w:r>
              <w:rPr>
                <w:sz w:val="16"/>
              </w:rPr>
              <w:t>Code</w:t>
            </w:r>
          </w:p>
        </w:tc>
        <w:tc>
          <w:tcPr>
            <w:tcW w:type="dxa" w:w="1296"/>
            <w:shd w:val="clear" w:color="auto" w:fill="E5F2E9"/>
          </w:tcPr>
          <w:p>
            <w:r/>
            <w:r>
              <w:rPr>
                <w:sz w:val="16"/>
              </w:rPr>
              <w:t>✔ DONE</w:t>
            </w:r>
          </w:p>
        </w:tc>
      </w:tr>
      <w:tr>
        <w:tc>
          <w:tcPr>
            <w:tcW w:type="dxa" w:w="720"/>
            <w:shd w:val="clear" w:color="auto" w:fill="F2F4F8"/>
          </w:tcPr>
          <w:p>
            <w:r/>
            <w:r>
              <w:rPr>
                <w:sz w:val="16"/>
              </w:rPr>
              <w:t>A4</w:t>
            </w:r>
          </w:p>
        </w:tc>
        <w:tc>
          <w:tcPr>
            <w:tcW w:type="dxa" w:w="5328"/>
            <w:shd w:val="clear" w:color="auto" w:fill="F2F4F8"/>
          </w:tcPr>
          <w:p>
            <w:r/>
            <w:r>
              <w:rPr>
                <w:sz w:val="16"/>
              </w:rPr>
              <w:t>Ratified the 5-archetype model + business-type map (Handbook Appendix A)</w:t>
            </w:r>
          </w:p>
        </w:tc>
        <w:tc>
          <w:tcPr>
            <w:tcW w:type="dxa" w:w="1008"/>
            <w:shd w:val="clear" w:color="auto" w:fill="F2F4F8"/>
          </w:tcPr>
          <w:p>
            <w:r/>
            <w:r>
              <w:rPr>
                <w:sz w:val="16"/>
              </w:rPr>
              <w:t>Docs</w:t>
            </w:r>
          </w:p>
        </w:tc>
        <w:tc>
          <w:tcPr>
            <w:tcW w:type="dxa" w:w="1296"/>
            <w:shd w:val="clear" w:color="auto" w:fill="E5F2E9"/>
          </w:tcPr>
          <w:p>
            <w:r/>
            <w:r>
              <w:rPr>
                <w:sz w:val="16"/>
              </w:rPr>
              <w:t>✔ DONE</w:t>
            </w:r>
          </w:p>
        </w:tc>
      </w:tr>
      <w:tr>
        <w:tc>
          <w:tcPr>
            <w:tcW w:type="dxa" w:w="720"/>
          </w:tcPr>
          <w:p>
            <w:r/>
            <w:r>
              <w:rPr>
                <w:sz w:val="16"/>
              </w:rPr>
              <w:t>A5</w:t>
            </w:r>
          </w:p>
        </w:tc>
        <w:tc>
          <w:tcPr>
            <w:tcW w:type="dxa" w:w="5328"/>
          </w:tcPr>
          <w:p>
            <w:r/>
            <w:r>
              <w:rPr>
                <w:sz w:val="16"/>
              </w:rPr>
              <w:t>Cataloged the two feature-flag kinds + ~38 KAKO_* tokens (Handbook Appendix A)</w:t>
            </w:r>
          </w:p>
        </w:tc>
        <w:tc>
          <w:tcPr>
            <w:tcW w:type="dxa" w:w="1008"/>
          </w:tcPr>
          <w:p>
            <w:r/>
            <w:r>
              <w:rPr>
                <w:sz w:val="16"/>
              </w:rPr>
              <w:t>Docs</w:t>
            </w:r>
          </w:p>
        </w:tc>
        <w:tc>
          <w:tcPr>
            <w:tcW w:type="dxa" w:w="1296"/>
            <w:shd w:val="clear" w:color="auto" w:fill="E5F2E9"/>
          </w:tcPr>
          <w:p>
            <w:r/>
            <w:r>
              <w:rPr>
                <w:sz w:val="16"/>
              </w:rPr>
              <w:t>✔ DONE</w:t>
            </w:r>
          </w:p>
        </w:tc>
      </w:tr>
    </w:tbl>
    <w:p>
      <w:r>
        <w:br w:type="page"/>
      </w:r>
    </w:p>
    <w:p>
      <w:pPr>
        <w:pStyle w:val="Title"/>
      </w:pPr>
      <w:r>
        <w:rPr>
          <w:b/>
          <w:color w:val="1F2A44"/>
          <w:sz w:val="36"/>
        </w:rPr>
        <w:t>2. Exact code changes (5 files, +20 / −11)</w:t>
      </w:r>
    </w:p>
    <w:p>
      <w:r>
        <w:rPr>
          <w:b w:val="0"/>
          <w:i w:val="0"/>
          <w:color w:val="1A1A1A"/>
          <w:sz w:val="20"/>
        </w:rPr>
        <w:t>Minimal, additive diff. Two production files for behaviour (registry.ts, nav-flags.ts + navigation.ts), two test files updated to lock in the new contracts.</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color="auto" w:fill="1F2A44"/>
          </w:tcPr>
          <w:p>
            <w:r/>
            <w:r>
              <w:rPr>
                <w:b/>
                <w:color w:val="FFFFFF"/>
                <w:sz w:val="17"/>
              </w:rPr>
              <w:t>File</w:t>
            </w:r>
          </w:p>
        </w:tc>
        <w:tc>
          <w:tcPr>
            <w:tcW w:type="dxa" w:w="4896"/>
            <w:shd w:val="clear" w:color="auto" w:fill="1F2A44"/>
          </w:tcPr>
          <w:p>
            <w:r/>
            <w:r>
              <w:rPr>
                <w:b/>
                <w:color w:val="FFFFFF"/>
                <w:sz w:val="17"/>
              </w:rPr>
              <w:t>Change</w:t>
            </w:r>
          </w:p>
        </w:tc>
        <w:tc>
          <w:tcPr>
            <w:tcW w:type="dxa" w:w="1152"/>
            <w:shd w:val="clear" w:color="auto" w:fill="1F2A44"/>
          </w:tcPr>
          <w:p>
            <w:r/>
            <w:r>
              <w:rPr>
                <w:b/>
                <w:color w:val="FFFFFF"/>
                <w:sz w:val="17"/>
              </w:rPr>
              <w:t>Lines</w:t>
            </w:r>
          </w:p>
        </w:tc>
      </w:tr>
      <w:tr>
        <w:tc>
          <w:tcPr>
            <w:tcW w:type="dxa" w:w="3744"/>
          </w:tcPr>
          <w:p>
            <w:r/>
            <w:r>
              <w:rPr>
                <w:sz w:val="16"/>
              </w:rPr>
              <w:t>src/lib/entitlements/registry.ts</w:t>
            </w:r>
          </w:p>
        </w:tc>
        <w:tc>
          <w:tcPr>
            <w:tcW w:type="dxa" w:w="4896"/>
          </w:tcPr>
          <w:p>
            <w:r/>
            <w:r>
              <w:rPr>
                <w:sz w:val="16"/>
              </w:rPr>
              <w:t>Removed 4 inert map keys (change_requests.* ×3, trade_spend.manage); added explanatory note</w:t>
            </w:r>
          </w:p>
        </w:tc>
        <w:tc>
          <w:tcPr>
            <w:tcW w:type="dxa" w:w="1152"/>
          </w:tcPr>
          <w:p>
            <w:r/>
            <w:r>
              <w:rPr>
                <w:sz w:val="16"/>
              </w:rPr>
              <w:t>−4 keys</w:t>
            </w:r>
          </w:p>
        </w:tc>
      </w:tr>
      <w:tr>
        <w:tc>
          <w:tcPr>
            <w:tcW w:type="dxa" w:w="3744"/>
            <w:shd w:val="clear" w:color="auto" w:fill="F2F4F8"/>
          </w:tcPr>
          <w:p>
            <w:r/>
            <w:r>
              <w:rPr>
                <w:sz w:val="16"/>
              </w:rPr>
              <w:t>src/lib/entitlements/entitlements.test.ts</w:t>
            </w:r>
          </w:p>
        </w:tc>
        <w:tc>
          <w:tcPr>
            <w:tcW w:type="dxa" w:w="4896"/>
            <w:shd w:val="clear" w:color="auto" w:fill="F2F4F8"/>
          </w:tcPr>
          <w:p>
            <w:r/>
            <w:r>
              <w:rPr>
                <w:sz w:val="16"/>
              </w:rPr>
              <w:t>Assert the removed keys are now unmapped ([])</w:t>
            </w:r>
          </w:p>
        </w:tc>
        <w:tc>
          <w:tcPr>
            <w:tcW w:type="dxa" w:w="1152"/>
            <w:shd w:val="clear" w:color="auto" w:fill="F2F4F8"/>
          </w:tcPr>
          <w:p>
            <w:r/>
            <w:r>
              <w:rPr>
                <w:sz w:val="16"/>
              </w:rPr>
              <w:t>±5</w:t>
            </w:r>
          </w:p>
        </w:tc>
      </w:tr>
      <w:tr>
        <w:tc>
          <w:tcPr>
            <w:tcW w:type="dxa" w:w="3744"/>
          </w:tcPr>
          <w:p>
            <w:r/>
            <w:r>
              <w:rPr>
                <w:sz w:val="16"/>
              </w:rPr>
              <w:t>src/lib/erp/nav-flags.ts</w:t>
            </w:r>
          </w:p>
        </w:tc>
        <w:tc>
          <w:tcPr>
            <w:tcW w:type="dxa" w:w="4896"/>
          </w:tcPr>
          <w:p>
            <w:r/>
            <w:r>
              <w:rPr>
                <w:sz w:val="16"/>
              </w:rPr>
              <w:t>Emit 'trade_spend' / 'distribution' tokens when their kill-switch is ON</w:t>
            </w:r>
          </w:p>
        </w:tc>
        <w:tc>
          <w:tcPr>
            <w:tcW w:type="dxa" w:w="1152"/>
          </w:tcPr>
          <w:p>
            <w:r/>
            <w:r>
              <w:rPr>
                <w:sz w:val="16"/>
              </w:rPr>
              <w:t>+7</w:t>
            </w:r>
          </w:p>
        </w:tc>
      </w:tr>
      <w:tr>
        <w:tc>
          <w:tcPr>
            <w:tcW w:type="dxa" w:w="3744"/>
            <w:shd w:val="clear" w:color="auto" w:fill="F2F4F8"/>
          </w:tcPr>
          <w:p>
            <w:r/>
            <w:r>
              <w:rPr>
                <w:sz w:val="16"/>
              </w:rPr>
              <w:t>src/lib/erp/navigation.ts</w:t>
            </w:r>
          </w:p>
        </w:tc>
        <w:tc>
          <w:tcPr>
            <w:tcW w:type="dxa" w:w="4896"/>
            <w:shd w:val="clear" w:color="auto" w:fill="F2F4F8"/>
          </w:tcPr>
          <w:p>
            <w:r/>
            <w:r>
              <w:rPr>
                <w:sz w:val="16"/>
              </w:rPr>
              <w:t>Added flag:'trade_spend' to Trade Spend item; flag:'distribution' to Coverage item</w:t>
            </w:r>
          </w:p>
        </w:tc>
        <w:tc>
          <w:tcPr>
            <w:tcW w:type="dxa" w:w="1152"/>
            <w:shd w:val="clear" w:color="auto" w:fill="F2F4F8"/>
          </w:tcPr>
          <w:p>
            <w:r/>
            <w:r>
              <w:rPr>
                <w:sz w:val="16"/>
              </w:rPr>
              <w:t>2 items</w:t>
            </w:r>
          </w:p>
        </w:tc>
      </w:tr>
      <w:tr>
        <w:tc>
          <w:tcPr>
            <w:tcW w:type="dxa" w:w="3744"/>
          </w:tcPr>
          <w:p>
            <w:r/>
            <w:r>
              <w:rPr>
                <w:sz w:val="16"/>
              </w:rPr>
              <w:t>src/lib/erp/navigation-engine-gates.test.ts</w:t>
            </w:r>
          </w:p>
        </w:tc>
        <w:tc>
          <w:tcPr>
            <w:tcW w:type="dxa" w:w="4896"/>
          </w:tcPr>
          <w:p>
            <w:r/>
            <w:r>
              <w:rPr>
                <w:sz w:val="16"/>
              </w:rPr>
              <w:t>Added the two new tokens to the test flag set</w:t>
            </w:r>
          </w:p>
        </w:tc>
        <w:tc>
          <w:tcPr>
            <w:tcW w:type="dxa" w:w="1152"/>
          </w:tcPr>
          <w:p>
            <w:r/>
            <w:r>
              <w:rPr>
                <w:sz w:val="16"/>
              </w:rPr>
              <w:t>+1</w:t>
            </w:r>
          </w:p>
        </w:tc>
      </w:tr>
    </w:tbl>
    <w:p>
      <w:r>
        <w:br w:type="page"/>
      </w:r>
    </w:p>
    <w:p>
      <w:pPr>
        <w:pStyle w:val="Title"/>
      </w:pPr>
      <w:r>
        <w:rPr>
          <w:b/>
          <w:color w:val="1F2A44"/>
          <w:sz w:val="36"/>
        </w:rPr>
        <w:t>3. Before / After validation (per item)</w:t>
      </w:r>
    </w:p>
    <w:p>
      <w:pPr>
        <w:pStyle w:val="Heading2"/>
      </w:pPr>
      <w:r>
        <w:rPr>
          <w:b/>
          <w:color w:val="1B4F9E"/>
          <w:sz w:val="22"/>
        </w:rPr>
        <w:t>A1 — dead permission keys</w:t>
      </w:r>
    </w:p>
    <w:tbl>
      <w:tblPr>
        <w:tblStyle w:val="TableGrid"/>
        <w:tblW w:type="auto" w:w="0"/>
        <w:jc w:val="center"/>
        <w:tblLook w:firstColumn="1" w:firstRow="1" w:lastColumn="0" w:lastRow="0" w:noHBand="0" w:noVBand="1" w:val="04A0"/>
      </w:tblPr>
      <w:tblGrid>
        <w:gridCol w:w="2880"/>
        <w:gridCol w:w="2880"/>
        <w:gridCol w:w="2880"/>
      </w:tblGrid>
      <w:tr>
        <w:tc>
          <w:tcPr>
            <w:tcW w:type="dxa" w:w="1584"/>
            <w:shd w:val="clear" w:color="auto" w:fill="1F2A44"/>
          </w:tcPr>
          <w:p>
            <w:r/>
            <w:r>
              <w:rPr>
                <w:b/>
                <w:color w:val="FFFFFF"/>
                <w:sz w:val="17"/>
              </w:rPr>
            </w:r>
          </w:p>
        </w:tc>
        <w:tc>
          <w:tcPr>
            <w:tcW w:type="dxa" w:w="4176"/>
            <w:shd w:val="clear" w:color="auto" w:fill="1F2A44"/>
          </w:tcPr>
          <w:p>
            <w:r/>
            <w:r>
              <w:rPr>
                <w:b/>
                <w:color w:val="FFFFFF"/>
                <w:sz w:val="17"/>
              </w:rPr>
              <w:t>Before</w:t>
            </w:r>
          </w:p>
        </w:tc>
        <w:tc>
          <w:tcPr>
            <w:tcW w:type="dxa" w:w="4032"/>
            <w:shd w:val="clear" w:color="auto" w:fill="1F2A44"/>
          </w:tcPr>
          <w:p>
            <w:r/>
            <w:r>
              <w:rPr>
                <w:b/>
                <w:color w:val="FFFFFF"/>
                <w:sz w:val="17"/>
              </w:rPr>
              <w:t>After</w:t>
            </w:r>
          </w:p>
        </w:tc>
      </w:tr>
      <w:tr>
        <w:tc>
          <w:tcPr>
            <w:tcW w:type="dxa" w:w="1584"/>
          </w:tcPr>
          <w:p>
            <w:r/>
            <w:r>
              <w:rPr>
                <w:sz w:val="16"/>
              </w:rPr>
              <w:t>Code</w:t>
            </w:r>
          </w:p>
        </w:tc>
        <w:tc>
          <w:tcPr>
            <w:tcW w:type="dxa" w:w="4176"/>
          </w:tcPr>
          <w:p>
            <w:r/>
            <w:r>
              <w:rPr>
                <w:sz w:val="16"/>
              </w:rPr>
              <w:t>registry.ts mapped change_requests.create/approve/manage + trade_spend.manage → modules</w:t>
            </w:r>
          </w:p>
        </w:tc>
        <w:tc>
          <w:tcPr>
            <w:tcW w:type="dxa" w:w="4032"/>
          </w:tcPr>
          <w:p>
            <w:r/>
            <w:r>
              <w:rPr>
                <w:sz w:val="16"/>
              </w:rPr>
              <w:t>Those 4 entries removed; keys unmapped</w:t>
            </w:r>
          </w:p>
        </w:tc>
      </w:tr>
      <w:tr>
        <w:tc>
          <w:tcPr>
            <w:tcW w:type="dxa" w:w="1584"/>
            <w:shd w:val="clear" w:color="auto" w:fill="F2F4F8"/>
          </w:tcPr>
          <w:p>
            <w:r/>
            <w:r>
              <w:rPr>
                <w:sz w:val="16"/>
              </w:rPr>
              <w:t>Enforcement</w:t>
            </w:r>
          </w:p>
        </w:tc>
        <w:tc>
          <w:tcPr>
            <w:tcW w:type="dxa" w:w="4176"/>
            <w:shd w:val="clear" w:color="auto" w:fill="F2F4F8"/>
          </w:tcPr>
          <w:p>
            <w:r/>
            <w:r>
              <w:rPr>
                <w:sz w:val="16"/>
              </w:rPr>
              <w:t>None — keys absent from the Permission union, granted to no role, no hasPermission() call</w:t>
            </w:r>
          </w:p>
        </w:tc>
        <w:tc>
          <w:tcPr>
            <w:tcW w:type="dxa" w:w="4032"/>
            <w:shd w:val="clear" w:color="auto" w:fill="F2F4F8"/>
          </w:tcPr>
          <w:p>
            <w:r/>
            <w:r>
              <w:rPr>
                <w:sz w:val="16"/>
              </w:rPr>
              <w:t>None — unchanged</w:t>
            </w:r>
          </w:p>
        </w:tc>
      </w:tr>
      <w:tr>
        <w:tc>
          <w:tcPr>
            <w:tcW w:type="dxa" w:w="1584"/>
          </w:tcPr>
          <w:p>
            <w:r/>
            <w:r>
              <w:rPr>
                <w:sz w:val="16"/>
              </w:rPr>
              <w:t>Effective access</w:t>
            </w:r>
          </w:p>
        </w:tc>
        <w:tc>
          <w:tcPr>
            <w:tcW w:type="dxa" w:w="4176"/>
          </w:tcPr>
          <w:p>
            <w:r/>
            <w:r>
              <w:rPr>
                <w:sz w:val="16"/>
              </w:rPr>
              <w:t>modulesForPermission('trade_spend.manage') = ['trade_spend'] but never invoked</w:t>
            </w:r>
          </w:p>
        </w:tc>
        <w:tc>
          <w:tcPr>
            <w:tcW w:type="dxa" w:w="4032"/>
          </w:tcPr>
          <w:p>
            <w:r/>
            <w:r>
              <w:rPr>
                <w:sz w:val="16"/>
              </w:rPr>
              <w:t>= [] (never gated); behaviour identical</w:t>
            </w:r>
          </w:p>
        </w:tc>
      </w:tr>
      <w:tr>
        <w:tc>
          <w:tcPr>
            <w:tcW w:type="dxa" w:w="1584"/>
            <w:shd w:val="clear" w:color="auto" w:fill="F2F4F8"/>
          </w:tcPr>
          <w:p>
            <w:r/>
            <w:r>
              <w:rPr>
                <w:sz w:val="16"/>
              </w:rPr>
              <w:t>Test</w:t>
            </w:r>
          </w:p>
        </w:tc>
        <w:tc>
          <w:tcPr>
            <w:tcW w:type="dxa" w:w="4176"/>
            <w:shd w:val="clear" w:color="auto" w:fill="F2F4F8"/>
          </w:tcPr>
          <w:p>
            <w:r/>
            <w:r>
              <w:rPr>
                <w:sz w:val="16"/>
              </w:rPr>
              <w:t>asserted the keys mapped</w:t>
            </w:r>
          </w:p>
        </w:tc>
        <w:tc>
          <w:tcPr>
            <w:tcW w:type="dxa" w:w="4032"/>
            <w:shd w:val="clear" w:color="auto" w:fill="F2F4F8"/>
          </w:tcPr>
          <w:p>
            <w:r/>
            <w:r>
              <w:rPr>
                <w:sz w:val="16"/>
              </w:rPr>
              <w:t>asserts the keys are unmapped (regression guard)</w:t>
            </w:r>
          </w:p>
        </w:tc>
      </w:tr>
    </w:tbl>
    <w:p>
      <w:r>
        <w:rPr>
          <w:b w:val="0"/>
          <w:i/>
          <w:color w:val="1B7F3B"/>
          <w:sz w:val="20"/>
        </w:rPr>
        <w:t>Result: zero behavioural change — the keys enforced nothing before or after.</w:t>
      </w:r>
    </w:p>
    <w:p>
      <w:pPr>
        <w:pStyle w:val="Heading2"/>
      </w:pPr>
      <w:r>
        <w:rPr>
          <w:b/>
          <w:color w:val="1B4F9E"/>
          <w:sz w:val="22"/>
        </w:rPr>
        <w:t>A3 — nav/page flag binding (show-then-404 fix)</w:t>
      </w:r>
    </w:p>
    <w:tbl>
      <w:tblPr>
        <w:tblStyle w:val="TableGrid"/>
        <w:tblW w:type="auto" w:w="0"/>
        <w:jc w:val="center"/>
        <w:tblLook w:firstColumn="1" w:firstRow="1" w:lastColumn="0" w:lastRow="0" w:noHBand="0" w:noVBand="1" w:val="04A0"/>
      </w:tblPr>
      <w:tblGrid>
        <w:gridCol w:w="2880"/>
        <w:gridCol w:w="2880"/>
        <w:gridCol w:w="2880"/>
      </w:tblGrid>
      <w:tr>
        <w:tc>
          <w:tcPr>
            <w:tcW w:type="dxa" w:w="1584"/>
            <w:shd w:val="clear" w:color="auto" w:fill="1F2A44"/>
          </w:tcPr>
          <w:p>
            <w:r/>
            <w:r>
              <w:rPr>
                <w:b/>
                <w:color w:val="FFFFFF"/>
                <w:sz w:val="17"/>
              </w:rPr>
            </w:r>
          </w:p>
        </w:tc>
        <w:tc>
          <w:tcPr>
            <w:tcW w:type="dxa" w:w="4176"/>
            <w:shd w:val="clear" w:color="auto" w:fill="1F2A44"/>
          </w:tcPr>
          <w:p>
            <w:r/>
            <w:r>
              <w:rPr>
                <w:b/>
                <w:color w:val="FFFFFF"/>
                <w:sz w:val="17"/>
              </w:rPr>
              <w:t>Before</w:t>
            </w:r>
          </w:p>
        </w:tc>
        <w:tc>
          <w:tcPr>
            <w:tcW w:type="dxa" w:w="4032"/>
            <w:shd w:val="clear" w:color="auto" w:fill="1F2A44"/>
          </w:tcPr>
          <w:p>
            <w:r/>
            <w:r>
              <w:rPr>
                <w:b/>
                <w:color w:val="FFFFFF"/>
                <w:sz w:val="17"/>
              </w:rPr>
              <w:t>After</w:t>
            </w:r>
          </w:p>
        </w:tc>
      </w:tr>
      <w:tr>
        <w:tc>
          <w:tcPr>
            <w:tcW w:type="dxa" w:w="1584"/>
          </w:tcPr>
          <w:p>
            <w:r/>
            <w:r>
              <w:rPr>
                <w:sz w:val="16"/>
              </w:rPr>
              <w:t>Trade Spend nav</w:t>
            </w:r>
          </w:p>
        </w:tc>
        <w:tc>
          <w:tcPr>
            <w:tcW w:type="dxa" w:w="4176"/>
          </w:tcPr>
          <w:p>
            <w:r/>
            <w:r>
              <w:rPr>
                <w:sz w:val="16"/>
              </w:rPr>
              <w:t>Shown to any tenant with the trade_spend module + reports.view</w:t>
            </w:r>
          </w:p>
        </w:tc>
        <w:tc>
          <w:tcPr>
            <w:tcW w:type="dxa" w:w="4032"/>
          </w:tcPr>
          <w:p>
            <w:r/>
            <w:r>
              <w:rPr>
                <w:sz w:val="16"/>
              </w:rPr>
              <w:t>Shown only when KAKO_TRADE_SPEND is ON (matches the page)</w:t>
            </w:r>
          </w:p>
        </w:tc>
      </w:tr>
      <w:tr>
        <w:tc>
          <w:tcPr>
            <w:tcW w:type="dxa" w:w="1584"/>
            <w:shd w:val="clear" w:color="auto" w:fill="F2F4F8"/>
          </w:tcPr>
          <w:p>
            <w:r/>
            <w:r>
              <w:rPr>
                <w:sz w:val="16"/>
              </w:rPr>
              <w:t>Trade Spend page</w:t>
            </w:r>
          </w:p>
        </w:tc>
        <w:tc>
          <w:tcPr>
            <w:tcW w:type="dxa" w:w="4176"/>
            <w:shd w:val="clear" w:color="auto" w:fill="F2F4F8"/>
          </w:tcPr>
          <w:p>
            <w:r/>
            <w:r>
              <w:rPr>
                <w:sz w:val="16"/>
              </w:rPr>
              <w:t>notFound() when KAKO_TRADE_SPEND off → user hits 404 from a visible link</w:t>
            </w:r>
          </w:p>
        </w:tc>
        <w:tc>
          <w:tcPr>
            <w:tcW w:type="dxa" w:w="4032"/>
            <w:shd w:val="clear" w:color="auto" w:fill="F2F4F8"/>
          </w:tcPr>
          <w:p>
            <w:r/>
            <w:r>
              <w:rPr>
                <w:sz w:val="16"/>
              </w:rPr>
              <w:t>Unchanged — but the link is now hidden when it would 404</w:t>
            </w:r>
          </w:p>
        </w:tc>
      </w:tr>
      <w:tr>
        <w:tc>
          <w:tcPr>
            <w:tcW w:type="dxa" w:w="1584"/>
          </w:tcPr>
          <w:p>
            <w:r/>
            <w:r>
              <w:rPr>
                <w:sz w:val="16"/>
              </w:rPr>
              <w:t>Coverage nav</w:t>
            </w:r>
          </w:p>
        </w:tc>
        <w:tc>
          <w:tcPr>
            <w:tcW w:type="dxa" w:w="4176"/>
          </w:tcPr>
          <w:p>
            <w:r/>
            <w:r>
              <w:rPr>
                <w:sz w:val="16"/>
              </w:rPr>
              <w:t>Shown; page notFound() when KAKO_DISTRIBUTION off → 404</w:t>
            </w:r>
          </w:p>
        </w:tc>
        <w:tc>
          <w:tcPr>
            <w:tcW w:type="dxa" w:w="4032"/>
          </w:tcPr>
          <w:p>
            <w:r/>
            <w:r>
              <w:rPr>
                <w:sz w:val="16"/>
              </w:rPr>
              <w:t>Shown only when KAKO_DISTRIBUTION is ON</w:t>
            </w:r>
          </w:p>
        </w:tc>
      </w:tr>
      <w:tr>
        <w:tc>
          <w:tcPr>
            <w:tcW w:type="dxa" w:w="1584"/>
            <w:shd w:val="clear" w:color="auto" w:fill="F2F4F8"/>
          </w:tcPr>
          <w:p>
            <w:r/>
            <w:r>
              <w:rPr>
                <w:sz w:val="16"/>
              </w:rPr>
              <w:t>Net UX</w:t>
            </w:r>
          </w:p>
        </w:tc>
        <w:tc>
          <w:tcPr>
            <w:tcW w:type="dxa" w:w="4176"/>
            <w:shd w:val="clear" w:color="auto" w:fill="F2F4F8"/>
          </w:tcPr>
          <w:p>
            <w:r/>
            <w:r>
              <w:rPr>
                <w:sz w:val="16"/>
              </w:rPr>
              <w:t>Show-then-404 (the pilot-reported Trade Spend bug)</w:t>
            </w:r>
          </w:p>
        </w:tc>
        <w:tc>
          <w:tcPr>
            <w:tcW w:type="dxa" w:w="4032"/>
            <w:shd w:val="clear" w:color="auto" w:fill="F2F4F8"/>
          </w:tcPr>
          <w:p>
            <w:r/>
            <w:r>
              <w:rPr>
                <w:sz w:val="16"/>
              </w:rPr>
              <w:t>Link shown ⇔ page renders. Strictly better; never exposes anything new</w:t>
            </w:r>
          </w:p>
        </w:tc>
      </w:tr>
    </w:tbl>
    <w:p>
      <w:r>
        <w:rPr>
          <w:b w:val="0"/>
          <w:i/>
          <w:color w:val="1B7F3B"/>
          <w:sz w:val="20"/>
        </w:rPr>
        <w:t>Result: the show-then-404 class is closed for both hard-404 routes. Redirect-style pages were out of scope (graceful, not a 404).</w:t>
      </w:r>
    </w:p>
    <w:p>
      <w:pPr>
        <w:pStyle w:val="Heading2"/>
      </w:pPr>
      <w:r>
        <w:rPr>
          <w:b/>
          <w:color w:val="1B4F9E"/>
          <w:sz w:val="22"/>
        </w:rPr>
        <w:t>A4 — archetype documentation</w:t>
      </w:r>
    </w:p>
    <w:p>
      <w:r>
        <w:rPr>
          <w:b w:val="0"/>
          <w:i w:val="0"/>
          <w:color w:val="1B7F3B"/>
          <w:sz w:val="20"/>
        </w:rPr>
        <w:t>Before: the 5-archetype model existed only as narrative. After: a ratified business-type→archetype map table in the Governance Handbook (Appendix A). No business_type value changed; documentation only.</w:t>
      </w:r>
    </w:p>
    <w:p>
      <w:pPr>
        <w:pStyle w:val="Heading2"/>
      </w:pPr>
      <w:r>
        <w:rPr>
          <w:b/>
          <w:color w:val="1B4F9E"/>
          <w:sz w:val="22"/>
        </w:rPr>
        <w:t>A5 — feature-flag catalog</w:t>
      </w:r>
    </w:p>
    <w:p>
      <w:r>
        <w:rPr>
          <w:b w:val="0"/>
          <w:i w:val="0"/>
          <w:color w:val="1B7F3B"/>
          <w:sz w:val="20"/>
        </w:rPr>
        <w:t>Before: capability flags and kill-switches were conceptually mixed (the root of show-then-404). After: a catalog in the Handbook (Appendix A) defining the two kinds, the governance rule, and the ~38 KAKO_* tokens. No runtime change.</w:t>
      </w:r>
    </w:p>
    <w:p>
      <w:pPr>
        <w:pStyle w:val="Heading2"/>
      </w:pPr>
      <w:r>
        <w:rPr>
          <w:b/>
          <w:color w:val="1B4F9E"/>
          <w:sz w:val="22"/>
        </w:rPr>
        <w:t>A2 — held (reclassified)</w:t>
      </w:r>
    </w:p>
    <w:p>
      <w:r>
        <w:rPr>
          <w:b w:val="0"/>
          <w:i w:val="0"/>
          <w:color w:val="B46A00"/>
          <w:sz w:val="20"/>
        </w:rPr>
        <w:t>Evidence (fmcg/actions.ts, field/van-sales, permissions.ts) shows stock.*/inventory.*, customer.*/customers.*, report.aggregate.view/reports.view are distinct, separately-enforced permissions. Aliasing would widen access, so it was moved to Phase C with a migration plan. Roadmap + Handbook updated accordingly.</w:t>
      </w:r>
    </w:p>
    <w:p>
      <w:r>
        <w:br w:type="page"/>
      </w:r>
    </w:p>
    <w:p>
      <w:pPr>
        <w:pStyle w:val="Title"/>
      </w:pPr>
      <w:r>
        <w:rPr>
          <w:b/>
          <w:color w:val="1F2A44"/>
          <w:sz w:val="36"/>
        </w:rPr>
        <w:t>4. Test &amp; build evidence</w:t>
      </w:r>
    </w:p>
    <w:p>
      <w:pPr>
        <w:pStyle w:val="Heading2"/>
      </w:pPr>
      <w:r>
        <w:rPr>
          <w:b/>
          <w:color w:val="1B4F9E"/>
          <w:sz w:val="22"/>
        </w:rPr>
        <w:t>Unit / integration tests — vitest run</w:t>
      </w:r>
    </w:p>
    <w:p>
      <w:r>
        <w:rPr>
          <w:rFonts w:ascii="Consolas" w:hAnsi="Consolas"/>
          <w:color w:val="333333"/>
          <w:sz w:val="16"/>
        </w:rPr>
        <w:t>Test Files  180 passed | 69 skipped (249)</w:t>
      </w:r>
    </w:p>
    <w:p>
      <w:r>
        <w:rPr>
          <w:rFonts w:ascii="Consolas" w:hAnsi="Consolas"/>
          <w:color w:val="333333"/>
          <w:sz w:val="16"/>
        </w:rPr>
        <w:t xml:space="preserve">     Tests  1314 passed | 181 skipped (1495)</w:t>
      </w:r>
    </w:p>
    <w:p>
      <w:r>
        <w:rPr>
          <w:rFonts w:ascii="Consolas" w:hAnsi="Consolas"/>
          <w:color w:val="333333"/>
          <w:sz w:val="16"/>
        </w:rPr>
        <w:t xml:space="preserve">     0 failed</w:t>
      </w:r>
    </w:p>
    <w:p>
      <w:r>
        <w:rPr>
          <w:b w:val="0"/>
          <w:i w:val="0"/>
          <w:color w:val="1A1A1A"/>
          <w:sz w:val="20"/>
        </w:rPr>
        <w:t>Affected suites specifically re-run and green: entitlements, navigation, navigation-engine-gates, navigation-routes, permissions (66 passed).</w:t>
      </w:r>
    </w:p>
    <w:p>
      <w:pPr>
        <w:pStyle w:val="Heading2"/>
      </w:pPr>
      <w:r>
        <w:rPr>
          <w:b/>
          <w:color w:val="1B4F9E"/>
          <w:sz w:val="22"/>
        </w:rPr>
        <w:t>Type check — tsc --noEmit</w:t>
      </w:r>
    </w:p>
    <w:p>
      <w:r>
        <w:rPr>
          <w:rFonts w:ascii="Consolas" w:hAnsi="Consolas"/>
          <w:color w:val="333333"/>
          <w:sz w:val="16"/>
        </w:rPr>
        <w:t>tsc exit: 0  (no type errors)</w:t>
      </w:r>
    </w:p>
    <w:p>
      <w:pPr>
        <w:pStyle w:val="Heading2"/>
      </w:pPr>
      <w:r>
        <w:rPr>
          <w:b/>
          <w:color w:val="1B4F9E"/>
          <w:sz w:val="22"/>
        </w:rPr>
        <w:t>Production build — next build</w:t>
      </w:r>
    </w:p>
    <w:p>
      <w:r>
        <w:rPr>
          <w:rFonts w:ascii="Consolas" w:hAnsi="Consolas"/>
          <w:color w:val="333333"/>
          <w:sz w:val="16"/>
        </w:rPr>
        <w:t>✓ Compiled successfully</w:t>
      </w:r>
    </w:p>
    <w:p>
      <w:r>
        <w:rPr>
          <w:rFonts w:ascii="Consolas" w:hAnsi="Consolas"/>
          <w:color w:val="333333"/>
          <w:sz w:val="16"/>
        </w:rPr>
        <w:t>✓ Route table generated (all app routes); exit code 0</w:t>
      </w:r>
    </w:p>
    <w:tbl>
      <w:tblPr>
        <w:tblStyle w:val="TableGrid"/>
        <w:tblW w:type="auto" w:w="0"/>
        <w:jc w:val="center"/>
        <w:tblLook w:firstColumn="1" w:firstRow="1" w:lastColumn="0" w:lastRow="0" w:noHBand="0" w:noVBand="1" w:val="04A0"/>
      </w:tblPr>
      <w:tblGrid>
        <w:gridCol w:w="4320"/>
        <w:gridCol w:w="4320"/>
      </w:tblGrid>
      <w:tr>
        <w:tc>
          <w:tcPr>
            <w:tcW w:type="dxa" w:w="3600"/>
            <w:shd w:val="clear" w:color="auto" w:fill="1F2A44"/>
          </w:tcPr>
          <w:p>
            <w:r/>
            <w:r>
              <w:rPr>
                <w:b/>
                <w:color w:val="FFFFFF"/>
                <w:sz w:val="17"/>
              </w:rPr>
              <w:t>Gate</w:t>
            </w:r>
          </w:p>
        </w:tc>
        <w:tc>
          <w:tcPr>
            <w:tcW w:type="dxa" w:w="4320"/>
            <w:shd w:val="clear" w:color="auto" w:fill="1F2A44"/>
          </w:tcPr>
          <w:p>
            <w:r/>
            <w:r>
              <w:rPr>
                <w:b/>
                <w:color w:val="FFFFFF"/>
                <w:sz w:val="17"/>
              </w:rPr>
              <w:t>Result</w:t>
            </w:r>
          </w:p>
        </w:tc>
      </w:tr>
      <w:tr>
        <w:tc>
          <w:tcPr>
            <w:tcW w:type="dxa" w:w="3600"/>
          </w:tcPr>
          <w:p>
            <w:r/>
            <w:r>
              <w:rPr>
                <w:sz w:val="16"/>
              </w:rPr>
              <w:t>Full test suite</w:t>
            </w:r>
          </w:p>
        </w:tc>
        <w:tc>
          <w:tcPr>
            <w:tcW w:type="dxa" w:w="4320"/>
            <w:shd w:val="clear" w:color="auto" w:fill="E5F2E9"/>
          </w:tcPr>
          <w:p>
            <w:r/>
            <w:r>
              <w:rPr>
                <w:sz w:val="16"/>
              </w:rPr>
              <w:t>PASS (1314, 0 failed)</w:t>
            </w:r>
          </w:p>
        </w:tc>
      </w:tr>
      <w:tr>
        <w:tc>
          <w:tcPr>
            <w:tcW w:type="dxa" w:w="3600"/>
            <w:shd w:val="clear" w:color="auto" w:fill="F2F4F8"/>
          </w:tcPr>
          <w:p>
            <w:r/>
            <w:r>
              <w:rPr>
                <w:sz w:val="16"/>
              </w:rPr>
              <w:t>Type check</w:t>
            </w:r>
          </w:p>
        </w:tc>
        <w:tc>
          <w:tcPr>
            <w:tcW w:type="dxa" w:w="4320"/>
            <w:shd w:val="clear" w:color="auto" w:fill="E5F2E9"/>
          </w:tcPr>
          <w:p>
            <w:r/>
            <w:r>
              <w:rPr>
                <w:sz w:val="16"/>
              </w:rPr>
              <w:t>PASS (exit 0)</w:t>
            </w:r>
          </w:p>
        </w:tc>
      </w:tr>
      <w:tr>
        <w:tc>
          <w:tcPr>
            <w:tcW w:type="dxa" w:w="3600"/>
          </w:tcPr>
          <w:p>
            <w:r/>
            <w:r>
              <w:rPr>
                <w:sz w:val="16"/>
              </w:rPr>
              <w:t>Production build</w:t>
            </w:r>
          </w:p>
        </w:tc>
        <w:tc>
          <w:tcPr>
            <w:tcW w:type="dxa" w:w="4320"/>
            <w:shd w:val="clear" w:color="auto" w:fill="E5F2E9"/>
          </w:tcPr>
          <w:p>
            <w:r/>
            <w:r>
              <w:rPr>
                <w:sz w:val="16"/>
              </w:rPr>
              <w:t>PASS (exit 0)</w:t>
            </w:r>
          </w:p>
        </w:tc>
      </w:tr>
    </w:tbl>
    <w:p>
      <w:r>
        <w:br w:type="page"/>
      </w:r>
    </w:p>
    <w:p>
      <w:pPr>
        <w:pStyle w:val="Title"/>
      </w:pPr>
      <w:r>
        <w:rPr>
          <w:b/>
          <w:color w:val="1F2A44"/>
          <w:sz w:val="36"/>
        </w:rPr>
        <w:t>5. Updated artifacts &amp; guardrails</w:t>
      </w:r>
    </w:p>
    <w:p>
      <w:pPr>
        <w:pStyle w:val="Heading2"/>
      </w:pPr>
      <w:r>
        <w:rPr>
          <w:b/>
          <w:color w:val="1B4F9E"/>
          <w:sz w:val="22"/>
        </w:rPr>
        <w:t>Governance baseline updated</w:t>
      </w:r>
    </w:p>
    <w:p>
      <w:pPr>
        <w:pStyle w:val="ListBullet"/>
      </w:pPr>
      <w:r>
        <w:rPr>
          <w:b w:val="0"/>
          <w:color w:val="1A1A1A"/>
          <w:sz w:val="19"/>
        </w:rPr>
        <w:t>Governance Handbook — added Appendix A (Phase A ratified): A4 archetype map, A5 flag catalog, A1/A3 status, A2 reclassification.</w:t>
      </w:r>
    </w:p>
    <w:p>
      <w:pPr>
        <w:pStyle w:val="ListBullet"/>
      </w:pPr>
      <w:r>
        <w:rPr>
          <w:b w:val="0"/>
          <w:color w:val="1A1A1A"/>
          <w:sz w:val="19"/>
        </w:rPr>
        <w:t>Implementation Roadmap — A1/A3/A4/A5 marked DONE; A2 moved from Quick Wins (Immediate) to Phase C with the evidence note.</w:t>
      </w:r>
    </w:p>
    <w:p>
      <w:pPr>
        <w:pStyle w:val="ListBullet"/>
      </w:pPr>
      <w:r>
        <w:rPr>
          <w:b w:val="0"/>
          <w:color w:val="1A1A1A"/>
          <w:sz w:val="19"/>
        </w:rPr>
        <w:t>Phase A checklist tracker — items A1/A3/A4/A5 complete; A2 marked reclassified.</w:t>
      </w:r>
    </w:p>
    <w:p>
      <w:pPr>
        <w:pStyle w:val="Heading2"/>
      </w:pPr>
      <w:r>
        <w:rPr>
          <w:b/>
          <w:color w:val="1B4F9E"/>
          <w:sz w:val="22"/>
        </w:rPr>
        <w:t>Guardrails honoured (what was NOT done)</w:t>
      </w:r>
    </w:p>
    <w:tbl>
      <w:tblPr>
        <w:tblStyle w:val="TableGrid"/>
        <w:tblW w:type="auto" w:w="0"/>
        <w:jc w:val="center"/>
        <w:tblLook w:firstColumn="1" w:firstRow="1" w:lastColumn="0" w:lastRow="0" w:noHBand="0" w:noVBand="1" w:val="04A0"/>
      </w:tblPr>
      <w:tblGrid>
        <w:gridCol w:w="4320"/>
        <w:gridCol w:w="4320"/>
      </w:tblGrid>
      <w:tr>
        <w:tc>
          <w:tcPr>
            <w:tcW w:type="dxa" w:w="4896"/>
            <w:shd w:val="clear" w:color="auto" w:fill="1F2A44"/>
          </w:tcPr>
          <w:p>
            <w:r/>
            <w:r>
              <w:rPr>
                <w:b/>
                <w:color w:val="FFFFFF"/>
                <w:sz w:val="17"/>
              </w:rPr>
              <w:t>Constraint</w:t>
            </w:r>
          </w:p>
        </w:tc>
        <w:tc>
          <w:tcPr>
            <w:tcW w:type="dxa" w:w="3024"/>
            <w:shd w:val="clear" w:color="auto" w:fill="1F2A44"/>
          </w:tcPr>
          <w:p>
            <w:r/>
            <w:r>
              <w:rPr>
                <w:b/>
                <w:color w:val="FFFFFF"/>
                <w:sz w:val="17"/>
              </w:rPr>
              <w:t>Honoured?</w:t>
            </w:r>
          </w:p>
        </w:tc>
      </w:tr>
      <w:tr>
        <w:tc>
          <w:tcPr>
            <w:tcW w:type="dxa" w:w="4896"/>
          </w:tcPr>
          <w:p>
            <w:r/>
            <w:r>
              <w:rPr>
                <w:sz w:val="16"/>
              </w:rPr>
              <w:t>No role consolidation</w:t>
            </w:r>
          </w:p>
        </w:tc>
        <w:tc>
          <w:tcPr>
            <w:tcW w:type="dxa" w:w="3024"/>
            <w:shd w:val="clear" w:color="auto" w:fill="E5F2E9"/>
          </w:tcPr>
          <w:p>
            <w:r/>
            <w:r>
              <w:rPr>
                <w:sz w:val="16"/>
              </w:rPr>
              <w:t>Yes — 27 roles untouched</w:t>
            </w:r>
          </w:p>
        </w:tc>
      </w:tr>
      <w:tr>
        <w:tc>
          <w:tcPr>
            <w:tcW w:type="dxa" w:w="4896"/>
            <w:shd w:val="clear" w:color="auto" w:fill="F2F4F8"/>
          </w:tcPr>
          <w:p>
            <w:r/>
            <w:r>
              <w:rPr>
                <w:sz w:val="16"/>
              </w:rPr>
              <w:t>No business-type consolidation</w:t>
            </w:r>
          </w:p>
        </w:tc>
        <w:tc>
          <w:tcPr>
            <w:tcW w:type="dxa" w:w="3024"/>
            <w:shd w:val="clear" w:color="auto" w:fill="E5F2E9"/>
          </w:tcPr>
          <w:p>
            <w:r/>
            <w:r>
              <w:rPr>
                <w:sz w:val="16"/>
              </w:rPr>
              <w:t>Yes — all 21 types untouched; documentation only</w:t>
            </w:r>
          </w:p>
        </w:tc>
      </w:tr>
      <w:tr>
        <w:tc>
          <w:tcPr>
            <w:tcW w:type="dxa" w:w="4896"/>
          </w:tcPr>
          <w:p>
            <w:r/>
            <w:r>
              <w:rPr>
                <w:sz w:val="16"/>
              </w:rPr>
              <w:t>No permission-family consolidation</w:t>
            </w:r>
          </w:p>
        </w:tc>
        <w:tc>
          <w:tcPr>
            <w:tcW w:type="dxa" w:w="3024"/>
            <w:shd w:val="clear" w:color="auto" w:fill="E5F2E9"/>
          </w:tcPr>
          <w:p>
            <w:r/>
            <w:r>
              <w:rPr>
                <w:sz w:val="16"/>
              </w:rPr>
              <w:t>Yes — A2 explicitly held; no alias added</w:t>
            </w:r>
          </w:p>
        </w:tc>
      </w:tr>
      <w:tr>
        <w:tc>
          <w:tcPr>
            <w:tcW w:type="dxa" w:w="4896"/>
            <w:shd w:val="clear" w:color="auto" w:fill="F2F4F8"/>
          </w:tcPr>
          <w:p>
            <w:r/>
            <w:r>
              <w:rPr>
                <w:sz w:val="16"/>
              </w:rPr>
              <w:t>No tenant migration</w:t>
            </w:r>
          </w:p>
        </w:tc>
        <w:tc>
          <w:tcPr>
            <w:tcW w:type="dxa" w:w="3024"/>
            <w:shd w:val="clear" w:color="auto" w:fill="E5F2E9"/>
          </w:tcPr>
          <w:p>
            <w:r/>
            <w:r>
              <w:rPr>
                <w:sz w:val="16"/>
              </w:rPr>
              <w:t>Yes — no data migration of any kind</w:t>
            </w:r>
          </w:p>
        </w:tc>
      </w:tr>
      <w:tr>
        <w:tc>
          <w:tcPr>
            <w:tcW w:type="dxa" w:w="4896"/>
          </w:tcPr>
          <w:p>
            <w:r/>
            <w:r>
              <w:rPr>
                <w:sz w:val="16"/>
              </w:rPr>
              <w:t>A2 not implemented</w:t>
            </w:r>
          </w:p>
        </w:tc>
        <w:tc>
          <w:tcPr>
            <w:tcW w:type="dxa" w:w="3024"/>
            <w:shd w:val="clear" w:color="auto" w:fill="E5F2E9"/>
          </w:tcPr>
          <w:p>
            <w:r/>
            <w:r>
              <w:rPr>
                <w:sz w:val="16"/>
              </w:rPr>
              <w:t>Yes — reclassified to Phase C</w:t>
            </w:r>
          </w:p>
        </w:tc>
      </w:tr>
    </w:tbl>
    <w:p>
      <w:r>
        <w:br w:type="page"/>
      </w:r>
    </w:p>
    <w:p>
      <w:pPr>
        <w:pStyle w:val="Title"/>
      </w:pPr>
      <w:r>
        <w:rPr>
          <w:b/>
          <w:color w:val="1F2A44"/>
          <w:sz w:val="36"/>
        </w:rPr>
        <w:t>6. Sign-off &amp; next steps</w:t>
      </w:r>
    </w:p>
    <w:p>
      <w:r>
        <w:rPr>
          <w:b/>
          <w:i w:val="0"/>
          <w:color w:val="1F2A44"/>
          <w:sz w:val="20"/>
        </w:rPr>
        <w:t>Phase A is complete and verified zero-impact. The platform is cleaner (inert keys gone, nav/page flags aligned, governance baseline documented) but functionally identical for every existing tenant.</w:t>
      </w:r>
    </w:p>
    <w:p>
      <w:pPr>
        <w:pStyle w:val="Heading2"/>
      </w:pPr>
      <w:r>
        <w:rPr>
          <w:b/>
          <w:color w:val="1B4F9E"/>
          <w:sz w:val="22"/>
        </w:rPr>
        <w:t>Recommended next steps (unchanged objective)</w:t>
      </w:r>
    </w:p>
    <w:p>
      <w:pPr>
        <w:pStyle w:val="ListBullet"/>
      </w:pPr>
      <w:r>
        <w:rPr>
          <w:b w:val="0"/>
          <w:color w:val="1A1A1A"/>
          <w:sz w:val="19"/>
        </w:rPr>
        <w:t>Resume the stated objective: (1) complete pilot validation, (2) get the first paying customer, (3) collect real usage data.</w:t>
      </w:r>
    </w:p>
    <w:p>
      <w:pPr>
        <w:pStyle w:val="ListBullet"/>
      </w:pPr>
      <w:r>
        <w:rPr>
          <w:b w:val="0"/>
          <w:color w:val="1A1A1A"/>
          <w:sz w:val="19"/>
        </w:rPr>
        <w:t>Operational note (not code): the A3 binding means Trade Spend / Coverage links appear only where KAKO_TRADE_SPEND / KAKO_DISTRIBUTION are set. To expose Trade Spend in the pilot, set KAKO_TRADE_SPEND=1 in the deployment env.</w:t>
      </w:r>
    </w:p>
    <w:p>
      <w:pPr>
        <w:pStyle w:val="ListBullet"/>
      </w:pPr>
      <w:r>
        <w:rPr>
          <w:b w:val="0"/>
          <w:color w:val="1A1A1A"/>
          <w:sz w:val="19"/>
        </w:rPr>
        <w:t>Hold all structural simplification (Phase B/C/D), including A2, until after the first paying customer + usage data.</w:t>
      </w:r>
    </w:p>
    <w:p>
      <w:r>
        <w:rPr>
          <w:b w:val="0"/>
          <w:i w:val="0"/>
          <w:color w:val="1A1A1A"/>
          <w:sz w:val="20"/>
        </w:rPr>
      </w:r>
    </w:p>
    <w:p>
      <w:r>
        <w:rPr>
          <w:b/>
          <w:i w:val="0"/>
          <w:color w:val="1F2A44"/>
          <w:sz w:val="20"/>
        </w:rPr>
        <w:t>Phase A: DONE. No structural change was made. The next governance step (Phase B) begins only on your go-ahead, after the pilot and first paying customer.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