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kako-fmcg — Migration Impact Assessment &amp; Upgrade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kako-fmcg — Migration Impact Assessment &amp; Upgrade Plan</w:t>
      </w:r>
    </w:p>
    <w:p>
      <w:r>
        <w:rPr>
          <w:b/>
        </w:rPr>
        <w:t>Status: ASSESSMENT ONLY — no schema changes applied.</w:t>
      </w:r>
      <w:r>
        <w:t xml:space="preserve"> Approval required before any change.</w:t>
      </w:r>
    </w:p>
    <w:p>
      <w:r>
        <w:rPr>
          <w:b/>
        </w:rPr>
        <w:t>Target project:</w:t>
      </w:r>
      <w:r>
        <w:t xml:space="preserve"> </w:t>
      </w:r>
      <w:r>
        <w:rPr>
          <w:rFonts w:ascii="Consolas" w:hAnsi="Consolas"/>
          <w:sz w:val="19"/>
        </w:rPr>
        <w:t>kako-fmcg</w:t>
      </w:r>
      <w:r>
        <w:t xml:space="preserve"> (</w:t>
      </w:r>
      <w:r>
        <w:rPr>
          <w:rFonts w:ascii="Consolas" w:hAnsi="Consolas"/>
          <w:sz w:val="19"/>
        </w:rPr>
        <w:t>nrvydmkxjnctdlaxdhur</w:t>
      </w:r>
      <w:r>
        <w:t xml:space="preserve">, eu-west-1) · </w:t>
      </w:r>
      <w:r>
        <w:rPr>
          <w:b/>
        </w:rPr>
        <w:t>Repo target:</w:t>
      </w:r>
      <w:r>
        <w:t xml:space="preserve"> this branch (migrations </w:t>
      </w:r>
      <w:r>
        <w:rPr>
          <w:rFonts w:ascii="Consolas" w:hAnsi="Consolas"/>
          <w:sz w:val="19"/>
        </w:rPr>
        <w:t>0001–0268</w:t>
      </w:r>
      <w:r>
        <w:t>).</w:t>
      </w:r>
    </w:p>
    <w:p>
      <w:pPr>
        <w:pStyle w:val="Heading2"/>
      </w:pPr>
      <w:r>
        <w:rPr>
          <w:color w:val="1F497D"/>
        </w:rPr>
        <w:t>1. Current schema version (kako-fmcg)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Fact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Migration tracking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supabase_migrations.schema_migrations</w:t>
            </w:r>
            <w:r>
              <w:t xml:space="preserve"> — </w:t>
            </w:r>
            <w:r>
              <w:rPr>
                <w:b/>
              </w:rPr>
              <w:t>131 applied</w:t>
            </w:r>
          </w:p>
        </w:tc>
      </w:tr>
      <w:tr>
        <w:tc>
          <w:tcPr>
            <w:tcW w:type="dxa" w:w="4320"/>
          </w:tcPr>
          <w:p>
            <w:r>
              <w:t xml:space="preserve">Highest </w:t>
            </w:r>
            <w:r>
              <w:rPr>
                <w:rFonts w:ascii="Consolas" w:hAnsi="Consolas"/>
                <w:sz w:val="19"/>
              </w:rPr>
              <w:t>0NNN</w:t>
            </w:r>
            <w:r>
              <w:t xml:space="preserve"> applied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`0173_snapshot_inventory`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erp_*</w:t>
            </w:r>
            <w:r>
              <w:t xml:space="preserve"> tables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135</w:t>
            </w:r>
          </w:p>
        </w:tc>
      </w:tr>
      <w:tr>
        <w:tc>
          <w:tcPr>
            <w:tcW w:type="dxa" w:w="4320"/>
          </w:tcPr>
          <w:p>
            <w:r>
              <w:t>Companies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44</w:t>
            </w:r>
            <w:r>
              <w:t xml:space="preserve"> (multi-vertical: clinic 5, general 4, wholesale 4, delivery 3, pharmacy 3, </w:t>
            </w:r>
            <w:r>
              <w:rPr>
                <w:b/>
              </w:rPr>
              <w:t>clothing 3</w:t>
            </w:r>
            <w:r>
              <w:t>, supermarket 3, workshop 3, butchery 2, services 2, hotel 2, + 11 more incl. restaurant, salon, laundry, bakery, cafe, electronics…)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60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auth.users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145 invoices · 59 customers · 225 products</w:t>
            </w:r>
          </w:p>
        </w:tc>
      </w:tr>
    </w:tbl>
    <w:p/>
    <w:p>
      <w:r>
        <w:rPr>
          <w:b/>
        </w:rPr>
        <w:t>Character:</w:t>
      </w:r>
      <w:r>
        <w:t xml:space="preserve"> </w:t>
      </w:r>
      <w:r>
        <w:rPr>
          <w:rFonts w:ascii="Consolas" w:hAnsi="Consolas"/>
          <w:sz w:val="19"/>
        </w:rPr>
        <w:t>kako-fmcg</w:t>
      </w:r>
      <w:r>
        <w:t xml:space="preserve"> is a </w:t>
      </w:r>
      <w:r>
        <w:rPr>
          <w:b/>
        </w:rPr>
        <w:t>multi-vertical dev/demo environment</w:t>
      </w:r>
      <w:r>
        <w:t>, not a single production tenant. Data volume is modest.</w:t>
      </w:r>
    </w:p>
    <w:p>
      <w:pPr>
        <w:pStyle w:val="Heading2"/>
      </w:pPr>
      <w:r>
        <w:rPr>
          <w:color w:val="1F497D"/>
        </w:rPr>
        <w:t xml:space="preserve">2. Comparison vs the repository schema — </w:t>
      </w:r>
      <w:r>
        <w:rPr>
          <w:b/>
          <w:color w:val="1F497D"/>
        </w:rPr>
        <w:t>divergent fork, not a version gap</w:t>
      </w:r>
    </w:p>
    <w:p>
      <w:r>
        <w:t xml:space="preserve">The two histories share an ancestor (~migration 0102) and then </w:t>
      </w:r>
      <w:r>
        <w:rPr>
          <w:b/>
        </w:rPr>
        <w:t>diverged in different product directions</w:t>
      </w:r>
      <w:r>
        <w:t>. This is confirmed bidirectionally:</w:t>
      </w:r>
    </w:p>
    <w:p>
      <w:pPr>
        <w:pStyle w:val="ListBullet"/>
      </w:pPr>
      <w:r>
        <w:rPr>
          <w:b/>
        </w:rPr>
        <w:t>kako-fmcg has migrations the repo lacks</w:t>
      </w:r>
      <w:r>
        <w:t xml:space="preserve"> (retail/fashion line): </w:t>
      </w:r>
      <w:r>
        <w:rPr>
          <w:rFonts w:ascii="Consolas" w:hAnsi="Consolas"/>
          <w:sz w:val="19"/>
        </w:rPr>
        <w:t>0161_fashion_owner_cash</w:t>
      </w:r>
      <w:r>
        <w:t xml:space="preserve">, </w:t>
      </w:r>
      <w:r>
        <w:rPr>
          <w:rFonts w:ascii="Consolas" w:hAnsi="Consolas"/>
          <w:sz w:val="19"/>
        </w:rPr>
        <w:t>0165_void_invoice</w:t>
      </w:r>
      <w:r>
        <w:t xml:space="preserve">, </w:t>
      </w:r>
      <w:r>
        <w:rPr>
          <w:rFonts w:ascii="Consolas" w:hAnsi="Consolas"/>
          <w:sz w:val="19"/>
        </w:rPr>
        <w:t>0166_returns_exchanges</w:t>
      </w:r>
      <w:r>
        <w:t xml:space="preserve">, </w:t>
      </w:r>
      <w:r>
        <w:rPr>
          <w:rFonts w:ascii="Consolas" w:hAnsi="Consolas"/>
          <w:sz w:val="19"/>
        </w:rPr>
        <w:t>0167_installment_flexibility</w:t>
      </w:r>
      <w:r>
        <w:t xml:space="preserve">, </w:t>
      </w:r>
      <w:r>
        <w:rPr>
          <w:rFonts w:ascii="Consolas" w:hAnsi="Consolas"/>
          <w:sz w:val="19"/>
        </w:rPr>
        <w:t>0171_retail_analytics</w:t>
      </w:r>
      <w:r>
        <w:t xml:space="preserve">, </w:t>
      </w:r>
      <w:r>
        <w:rPr>
          <w:rFonts w:ascii="Consolas" w:hAnsi="Consolas"/>
          <w:sz w:val="19"/>
        </w:rPr>
        <w:t>0172_backups</w:t>
      </w:r>
      <w:r>
        <w:t xml:space="preserve">, </w:t>
      </w:r>
      <w:r>
        <w:rPr>
          <w:rFonts w:ascii="Consolas" w:hAnsi="Consolas"/>
          <w:sz w:val="19"/>
        </w:rPr>
        <w:t>0173_snapshot_inventory</w:t>
      </w:r>
      <w:r>
        <w:t xml:space="preserve">. Its early history uses </w:t>
      </w:r>
      <w:r>
        <w:rPr>
          <w:b/>
        </w:rPr>
        <w:t>pre-renumber names</w:t>
      </w:r>
      <w:r>
        <w:t xml:space="preserve"> (</w:t>
      </w:r>
      <w:r>
        <w:rPr>
          <w:rFonts w:ascii="Consolas" w:hAnsi="Consolas"/>
          <w:sz w:val="19"/>
        </w:rPr>
        <w:t>erp_0005_part1…</w:t>
      </w:r>
      <w:r>
        <w:t xml:space="preserve">, </w:t>
      </w:r>
      <w:r>
        <w:rPr>
          <w:rFonts w:ascii="Consolas" w:hAnsi="Consolas"/>
          <w:sz w:val="19"/>
        </w:rPr>
        <w:t>org_structure</w:t>
      </w:r>
      <w:r>
        <w:t xml:space="preserve">, </w:t>
      </w:r>
      <w:r>
        <w:rPr>
          <w:rFonts w:ascii="Consolas" w:hAnsi="Consolas"/>
          <w:sz w:val="19"/>
        </w:rPr>
        <w:t>workflow_engine</w:t>
      </w:r>
      <w:r>
        <w:t xml:space="preserve">, </w:t>
      </w:r>
      <w:r>
        <w:rPr>
          <w:rFonts w:ascii="Consolas" w:hAnsi="Consolas"/>
          <w:sz w:val="19"/>
        </w:rPr>
        <w:t>custom_fields</w:t>
      </w:r>
      <w:r>
        <w:t xml:space="preserve">) and its </w:t>
      </w:r>
      <w:r>
        <w:rPr>
          <w:rFonts w:ascii="Consolas" w:hAnsi="Consolas"/>
          <w:sz w:val="19"/>
        </w:rPr>
        <w:t>0NNN</w:t>
      </w:r>
      <w:r>
        <w:t xml:space="preserve"> sequence has </w:t>
      </w:r>
      <w:r>
        <w:rPr>
          <w:b/>
        </w:rPr>
        <w:t>gaps</w:t>
      </w:r>
      <w:r>
        <w:t xml:space="preserve"> (0067→0096, 0102→0118→0146).</w:t>
      </w:r>
    </w:p>
    <w:p>
      <w:pPr>
        <w:pStyle w:val="ListBullet"/>
      </w:pPr>
      <w:r>
        <w:rPr>
          <w:b/>
        </w:rPr>
        <w:t>The repo has migrations kako-fmcg lacks</w:t>
      </w:r>
      <w:r>
        <w:t xml:space="preserve"> (FMCG van-sales line): </w:t>
      </w:r>
      <w:r>
        <w:rPr>
          <w:rFonts w:ascii="Consolas" w:hAnsi="Consolas"/>
          <w:sz w:val="19"/>
        </w:rPr>
        <w:t>0106_pricing_engine</w:t>
      </w:r>
      <w:r>
        <w:t xml:space="preserve">, </w:t>
      </w:r>
      <w:r>
        <w:rPr>
          <w:rFonts w:ascii="Consolas" w:hAnsi="Consolas"/>
          <w:sz w:val="19"/>
        </w:rPr>
        <w:t>0109_customer_approval</w:t>
      </w:r>
      <w:r>
        <w:t xml:space="preserve">, </w:t>
      </w:r>
      <w:r>
        <w:rPr>
          <w:rFonts w:ascii="Consolas" w:hAnsi="Consolas"/>
          <w:sz w:val="19"/>
        </w:rPr>
        <w:t>0128_fmcg_master</w:t>
      </w:r>
      <w:r>
        <w:t xml:space="preserve">, </w:t>
      </w:r>
      <w:r>
        <w:rPr>
          <w:rFonts w:ascii="Consolas" w:hAnsi="Consolas"/>
          <w:sz w:val="19"/>
        </w:rPr>
        <w:t>0140_return_reasons</w:t>
      </w:r>
      <w:r>
        <w:t xml:space="preserve">, the van-sales set </w:t>
      </w:r>
      <w:r>
        <w:rPr>
          <w:rFonts w:ascii="Consolas" w:hAnsi="Consolas"/>
          <w:sz w:val="19"/>
        </w:rPr>
        <w:t>0251/0265–0268</w:t>
      </w:r>
      <w:r>
        <w:t xml:space="preserve">, </w:t>
      </w:r>
      <w:r>
        <w:rPr>
          <w:b/>
        </w:rPr>
        <w:t>40 migrations in 0103–0145</w:t>
      </w:r>
      <w:r>
        <w:t xml:space="preserve">, and </w:t>
      </w:r>
      <w:r>
        <w:rPr>
          <w:b/>
        </w:rPr>
        <w:t>93 migrations ≥ 0174</w:t>
      </w:r>
      <w:r>
        <w:t>.</w:t>
      </w:r>
    </w:p>
    <w:p>
      <w:r>
        <w:rPr>
          <w:b/>
        </w:rPr>
        <w:t>Concrete FMCG gap on kako-fmcg</w:t>
      </w:r>
      <w:r>
        <w:t xml:space="preserve"> — 13 tables absent: </w:t>
      </w:r>
      <w:r>
        <w:rPr>
          <w:rFonts w:ascii="Consolas" w:hAnsi="Consolas"/>
          <w:sz w:val="19"/>
        </w:rPr>
        <w:t>erp_van_sales_settings</w:t>
      </w:r>
      <w:r>
        <w:t xml:space="preserve">, </w:t>
      </w:r>
      <w:r>
        <w:rPr>
          <w:rFonts w:ascii="Consolas" w:hAnsi="Consolas"/>
          <w:sz w:val="19"/>
        </w:rPr>
        <w:t>erp_fmcg_settings</w:t>
      </w:r>
      <w:r>
        <w:t xml:space="preserve">, </w:t>
      </w:r>
      <w:r>
        <w:rPr>
          <w:rFonts w:ascii="Consolas" w:hAnsi="Consolas"/>
          <w:sz w:val="19"/>
        </w:rPr>
        <w:t>erp_return_reasons</w:t>
      </w:r>
      <w:r>
        <w:t xml:space="preserve">, </w:t>
      </w:r>
      <w:r>
        <w:rPr>
          <w:rFonts w:ascii="Consolas" w:hAnsi="Consolas"/>
          <w:sz w:val="19"/>
        </w:rPr>
        <w:t>erp_price_rules</w:t>
      </w:r>
      <w:r>
        <w:t xml:space="preserve">, </w:t>
      </w:r>
      <w:r>
        <w:rPr>
          <w:rFonts w:ascii="Consolas" w:hAnsi="Consolas"/>
          <w:sz w:val="19"/>
        </w:rPr>
        <w:t>erp_credit_notes</w:t>
      </w:r>
      <w:r>
        <w:t xml:space="preserve">, </w:t>
      </w:r>
      <w:r>
        <w:rPr>
          <w:rFonts w:ascii="Consolas" w:hAnsi="Consolas"/>
          <w:sz w:val="19"/>
        </w:rPr>
        <w:t>erp_collections</w:t>
      </w:r>
      <w:r>
        <w:t xml:space="preserve">, </w:t>
      </w:r>
      <w:r>
        <w:rPr>
          <w:rFonts w:ascii="Consolas" w:hAnsi="Consolas"/>
          <w:sz w:val="19"/>
        </w:rPr>
        <w:t>erp_collection_allocations</w:t>
      </w:r>
      <w:r>
        <w:t xml:space="preserve">, </w:t>
      </w:r>
      <w:r>
        <w:rPr>
          <w:rFonts w:ascii="Consolas" w:hAnsi="Consolas"/>
          <w:sz w:val="19"/>
        </w:rPr>
        <w:t>erp_van_reconciliations</w:t>
      </w:r>
      <w:r>
        <w:t xml:space="preserve">, </w:t>
      </w:r>
      <w:r>
        <w:rPr>
          <w:rFonts w:ascii="Consolas" w:hAnsi="Consolas"/>
          <w:sz w:val="19"/>
        </w:rPr>
        <w:t>erp_journey_plans</w:t>
      </w:r>
      <w:r>
        <w:t xml:space="preserve">, </w:t>
      </w:r>
      <w:r>
        <w:rPr>
          <w:rFonts w:ascii="Consolas" w:hAnsi="Consolas"/>
          <w:sz w:val="19"/>
        </w:rPr>
        <w:t>erp_customer_lookups</w:t>
      </w:r>
      <w:r>
        <w:t xml:space="preserve">, </w:t>
      </w:r>
      <w:r>
        <w:rPr>
          <w:rFonts w:ascii="Consolas" w:hAnsi="Consolas"/>
          <w:sz w:val="19"/>
        </w:rPr>
        <w:t>erp_alerts</w:t>
      </w:r>
      <w:r>
        <w:t xml:space="preserve">, </w:t>
      </w:r>
      <w:r>
        <w:rPr>
          <w:rFonts w:ascii="Consolas" w:hAnsi="Consolas"/>
          <w:sz w:val="19"/>
        </w:rPr>
        <w:t>erp_modules</w:t>
      </w:r>
      <w:r>
        <w:t xml:space="preserve">, </w:t>
      </w:r>
      <w:r>
        <w:rPr>
          <w:rFonts w:ascii="Consolas" w:hAnsi="Consolas"/>
          <w:sz w:val="19"/>
        </w:rPr>
        <w:t>erp_features</w:t>
      </w:r>
      <w:r>
        <w:t xml:space="preserve"> (plus their RPCs: </w:t>
      </w:r>
      <w:r>
        <w:rPr>
          <w:rFonts w:ascii="Consolas" w:hAnsi="Consolas"/>
          <w:sz w:val="19"/>
        </w:rPr>
        <w:t>erp_van_sell/return</w:t>
      </w:r>
      <w:r>
        <w:t xml:space="preserve">, </w:t>
      </w:r>
      <w:r>
        <w:rPr>
          <w:rFonts w:ascii="Consolas" w:hAnsi="Consolas"/>
          <w:sz w:val="19"/>
        </w:rPr>
        <w:t>erp_settle_collection</w:t>
      </w:r>
      <w:r>
        <w:t xml:space="preserve">, </w:t>
      </w:r>
      <w:r>
        <w:rPr>
          <w:rFonts w:ascii="Consolas" w:hAnsi="Consolas"/>
          <w:sz w:val="19"/>
        </w:rPr>
        <w:t>erp_compute_van_reconciliation</w:t>
      </w:r>
      <w:r>
        <w:t xml:space="preserve">, </w:t>
      </w:r>
      <w:r>
        <w:rPr>
          <w:rFonts w:ascii="Consolas" w:hAnsi="Consolas"/>
          <w:sz w:val="19"/>
        </w:rPr>
        <w:t>erp_user_has_permission</w:t>
      </w:r>
      <w:r>
        <w:t xml:space="preserve">, </w:t>
      </w:r>
      <w:r>
        <w:rPr>
          <w:rFonts w:ascii="Consolas" w:hAnsi="Consolas"/>
          <w:sz w:val="19"/>
        </w:rPr>
        <w:t>erp_resolve_price</w:t>
      </w:r>
      <w:r>
        <w:t>, …).</w:t>
      </w:r>
    </w:p>
    <w:p>
      <w:pPr>
        <w:ind w:left="360"/>
      </w:pPr>
      <w:r>
        <w:rPr>
          <w:i/>
        </w:rPr>
      </w:r>
      <w:r>
        <w:rPr>
          <w:b/>
          <w:i/>
        </w:rPr>
        <w:t>Key conclusion:</w:t>
      </w:r>
      <w:r>
        <w:rPr>
          <w:i/>
        </w:rPr>
        <w:t xml:space="preserve"> the repo's </w:t>
      </w:r>
      <w:r>
        <w:rPr>
          <w:rFonts w:ascii="Consolas" w:hAnsi="Consolas"/>
          <w:i/>
          <w:sz w:val="19"/>
        </w:rPr>
        <w:t>0NNN</w:t>
      </w:r>
      <w:r>
        <w:rPr>
          <w:i/>
        </w:rPr>
        <w:t xml:space="preserve"> numbers do </w:t>
      </w:r>
      <w:r>
        <w:rPr>
          <w:b/>
          <w:i/>
        </w:rPr>
        <w:t>not</w:t>
      </w:r>
      <w:r>
        <w:rPr>
          <w:i/>
        </w:rPr>
        <w:t xml:space="preserve"> correspond to kako-fmcg's applied </w:t>
      </w:r>
      <w:r>
        <w:rPr>
          <w:rFonts w:ascii="Consolas" w:hAnsi="Consolas"/>
          <w:i/>
          <w:sz w:val="19"/>
        </w:rPr>
        <w:t>0NNN</w:t>
      </w:r>
      <w:r>
        <w:rPr>
          <w:i/>
        </w:rPr>
        <w:t xml:space="preserve"> numbers (different content at the same number). A linear "apply the missing migrations" is therefore </w:t>
      </w:r>
      <w:r>
        <w:rPr>
          <w:b/>
          <w:i/>
        </w:rPr>
        <w:t>not possible</w:t>
      </w:r>
      <w:r>
        <w:rPr>
          <w:i/>
        </w:rPr>
        <w:t xml:space="preserve"> — it is a *merge of two divergent schemas*.</w:t>
      </w:r>
    </w:p>
    <w:p>
      <w:pPr>
        <w:pStyle w:val="Heading2"/>
      </w:pPr>
      <w:r>
        <w:rPr>
          <w:color w:val="1F497D"/>
        </w:rPr>
        <w:t>3. Migration-impact report (applying the repo chain to populated kako-fmcg)</w:t>
      </w:r>
    </w:p>
    <w:p>
      <w:r>
        <w:t>Scan of the repo chain (</w:t>
      </w:r>
      <w:r>
        <w:rPr>
          <w:rFonts w:ascii="Consolas" w:hAnsi="Consolas"/>
          <w:sz w:val="19"/>
        </w:rPr>
        <w:t>0001–0268</w:t>
      </w:r>
      <w:r>
        <w:t>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Operation class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Files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Impact on a populated, divergent DB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DROP TABLE</w:t>
            </w:r>
            <w:r>
              <w:t xml:space="preserve"> (incl. idempotent re-creates)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Re-creates would hit existing divergent objects; some are genuine drops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DROP COLUMN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Potential data loss on shared tables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ALTER COLUMN … TYPE/SET NOT NULL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Fails if existing rows violate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DELETE/TRUNCATE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Data-touching (mostly re-seed of lookup/permission rows)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DROP FUNCTION/TYPE/POLICY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 xml:space="preserve">Mostly </w:t>
            </w:r>
            <w:r>
              <w:rPr>
                <w:rFonts w:ascii="Consolas" w:hAnsi="Consolas"/>
                <w:sz w:val="19"/>
              </w:rPr>
              <w:t>CREATE OR REPLACE</w:t>
            </w:r>
            <w:r>
              <w:t xml:space="preserve"> churn; safe, but high volume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`ADD COLUMN … NOT NULL`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Needs a default/backfill or fails on existing rows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backfills (`UPDATE … SET`)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47</w:t>
            </w:r>
          </w:p>
        </w:tc>
        <w:tc>
          <w:tcPr>
            <w:tcW w:type="dxa" w:w="2880"/>
          </w:tcPr>
          <w:p>
            <w:r>
              <w:t>Assume the repo's lineage state of the data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`ALTER` of shared tables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erp_customers/products_catalog/invoices/branches/companies/warehouses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Highest conflict risk</w:t>
            </w:r>
            <w:r>
              <w:t xml:space="preserve"> — these assume the repo's version of tables that kako-fmcg reached via *different* migrations</w:t>
            </w:r>
          </w:p>
        </w:tc>
      </w:tr>
    </w:tbl>
    <w:p/>
    <w:p>
      <w:pPr>
        <w:pStyle w:val="Heading2"/>
      </w:pPr>
      <w:r>
        <w:rPr>
          <w:color w:val="1F497D"/>
        </w:rPr>
        <w:t>4. Destructive migrations (data-loss capable)</w:t>
      </w:r>
    </w:p>
    <w:p>
      <w:r>
        <w:t xml:space="preserve">The repo chain contains operations that </w:t>
      </w:r>
      <w:r>
        <w:rPr>
          <w:b/>
        </w:rPr>
        <w:t>drop columns/tables or delete rows</w:t>
      </w:r>
      <w:r>
        <w:t xml:space="preserve">. Re-running the chain on kako-fmcg would execute these against live data. Notable: </w:t>
      </w:r>
      <w:r>
        <w:rPr>
          <w:rFonts w:ascii="Consolas" w:hAnsi="Consolas"/>
          <w:sz w:val="19"/>
        </w:rPr>
        <w:t>0103_customer_model_expansion</w:t>
      </w:r>
      <w:r>
        <w:t xml:space="preserve">, </w:t>
      </w:r>
      <w:r>
        <w:rPr>
          <w:rFonts w:ascii="Consolas" w:hAnsi="Consolas"/>
          <w:sz w:val="19"/>
        </w:rPr>
        <w:t>0106_pricing_engine</w:t>
      </w:r>
      <w:r>
        <w:t xml:space="preserve">, </w:t>
      </w:r>
      <w:r>
        <w:rPr>
          <w:rFonts w:ascii="Consolas" w:hAnsi="Consolas"/>
          <w:sz w:val="19"/>
        </w:rPr>
        <w:t>0128_fmcg_master_extensions</w:t>
      </w:r>
      <w:r>
        <w:t xml:space="preserve">, </w:t>
      </w:r>
      <w:r>
        <w:rPr>
          <w:rFonts w:ascii="Consolas" w:hAnsi="Consolas"/>
          <w:sz w:val="19"/>
        </w:rPr>
        <w:t>0137_uom_pricing_foundation</w:t>
      </w:r>
      <w:r>
        <w:t xml:space="preserve">, </w:t>
      </w:r>
      <w:r>
        <w:rPr>
          <w:rFonts w:ascii="Consolas" w:hAnsi="Consolas"/>
          <w:sz w:val="19"/>
        </w:rPr>
        <w:t>0140_return_reasons</w:t>
      </w:r>
      <w:r>
        <w:t xml:space="preserve">, </w:t>
      </w:r>
      <w:r>
        <w:rPr>
          <w:rFonts w:ascii="Consolas" w:hAnsi="Consolas"/>
          <w:sz w:val="19"/>
        </w:rPr>
        <w:t>0251_van_sales_settings</w:t>
      </w:r>
      <w:r>
        <w:t xml:space="preserve"> (each contains </w:t>
      </w:r>
      <w:r>
        <w:rPr>
          <w:rFonts w:ascii="Consolas" w:hAnsi="Consolas"/>
          <w:sz w:val="19"/>
        </w:rPr>
        <w:t>DROP</w:t>
      </w:r>
      <w:r>
        <w:t xml:space="preserve">/re-create or </w:t>
      </w:r>
      <w:r>
        <w:rPr>
          <w:rFonts w:ascii="Consolas" w:hAnsi="Consolas"/>
          <w:sz w:val="19"/>
        </w:rPr>
        <w:t>DELETE</w:t>
      </w:r>
      <w:r>
        <w:t xml:space="preserve"> of seed data), plus the 20 </w:t>
      </w:r>
      <w:r>
        <w:rPr>
          <w:rFonts w:ascii="Consolas" w:hAnsi="Consolas"/>
          <w:sz w:val="19"/>
        </w:rPr>
        <w:t>DROP COLUMN</w:t>
      </w:r>
      <w:r>
        <w:t xml:space="preserve"> and 29 </w:t>
      </w:r>
      <w:r>
        <w:rPr>
          <w:rFonts w:ascii="Consolas" w:hAnsi="Consolas"/>
          <w:sz w:val="19"/>
        </w:rPr>
        <w:t>DELETE/TRUNCATE</w:t>
      </w:r>
      <w:r>
        <w:t xml:space="preserve"> sites. On a clean DB these are intended; on kako-fmcg's divergent, populated schema they are </w:t>
      </w:r>
      <w:r>
        <w:rPr>
          <w:b/>
        </w:rPr>
        <w:t>unsafe</w:t>
      </w:r>
      <w:r>
        <w:t>.</w:t>
      </w:r>
    </w:p>
    <w:p>
      <w:pPr>
        <w:pStyle w:val="Heading2"/>
      </w:pPr>
      <w:r>
        <w:rPr>
          <w:color w:val="1F497D"/>
        </w:rPr>
        <w:t>5. Data-migration requirements</w:t>
      </w:r>
    </w:p>
    <w:p>
      <w:pPr>
        <w:pStyle w:val="ListBullet"/>
      </w:pPr>
      <w:r>
        <w:rPr>
          <w:b/>
        </w:rPr>
        <w:t>21</w:t>
      </w:r>
      <w:r>
        <w:t xml:space="preserve"> </w:t>
      </w:r>
      <w:r>
        <w:rPr>
          <w:rFonts w:ascii="Consolas" w:hAnsi="Consolas"/>
          <w:sz w:val="19"/>
        </w:rPr>
        <w:t>ADD COLUMN … NOT NULL</w:t>
      </w:r>
      <w:r>
        <w:t xml:space="preserve"> sites require a default or a backfill step against kako-fmcg's existing rows (44 companies, 59 customers, 225 products, 145 invoices).</w:t>
      </w:r>
    </w:p>
    <w:p>
      <w:pPr>
        <w:pStyle w:val="ListBullet"/>
      </w:pPr>
      <w:r>
        <w:rPr>
          <w:b/>
        </w:rPr>
        <w:t>47</w:t>
      </w:r>
      <w:r>
        <w:t xml:space="preserve"> migrations perform </w:t>
      </w:r>
      <w:r>
        <w:rPr>
          <w:rFonts w:ascii="Consolas" w:hAnsi="Consolas"/>
          <w:sz w:val="19"/>
        </w:rPr>
        <w:t>UPDATE … SET</w:t>
      </w:r>
      <w:r>
        <w:t xml:space="preserve"> backfills that assume the repo's prior data shape.</w:t>
      </w:r>
    </w:p>
    <w:p>
      <w:pPr>
        <w:pStyle w:val="ListBullet"/>
      </w:pPr>
      <w:r>
        <w:t xml:space="preserve">Permission/role/lookup </w:t>
      </w:r>
      <w:r>
        <w:rPr>
          <w:b/>
        </w:rPr>
        <w:t>re-seeds</w:t>
      </w:r>
      <w:r>
        <w:t xml:space="preserve"> (</w:t>
      </w:r>
      <w:r>
        <w:rPr>
          <w:rFonts w:ascii="Consolas" w:hAnsi="Consolas"/>
          <w:sz w:val="19"/>
        </w:rPr>
        <w:t>DELETE</w:t>
      </w:r>
      <w:r>
        <w:t xml:space="preserve"> + </w:t>
      </w:r>
      <w:r>
        <w:rPr>
          <w:rFonts w:ascii="Consolas" w:hAnsi="Consolas"/>
          <w:sz w:val="19"/>
        </w:rPr>
        <w:t>INSERT</w:t>
      </w:r>
      <w:r>
        <w:t xml:space="preserve"> on </w:t>
      </w:r>
      <w:r>
        <w:rPr>
          <w:rFonts w:ascii="Consolas" w:hAnsi="Consolas"/>
          <w:sz w:val="19"/>
        </w:rPr>
        <w:t>erp_role_permissions</w:t>
      </w:r>
      <w:r>
        <w:t>, lookups) would overwrite kako-fmcg's current grants.</w:t>
      </w:r>
    </w:p>
    <w:p>
      <w:pPr>
        <w:pStyle w:val="Heading2"/>
      </w:pPr>
      <w:r>
        <w:rPr>
          <w:color w:val="1F497D"/>
        </w:rPr>
        <w:t>6. Incompatible tables / RPCs / permissions / indexes</w:t>
      </w:r>
    </w:p>
    <w:p>
      <w:pPr>
        <w:pStyle w:val="ListBullet"/>
      </w:pPr>
      <w:r>
        <w:rPr>
          <w:b/>
        </w:rPr>
        <w:t>Tables:</w:t>
      </w:r>
      <w:r>
        <w:t xml:space="preserve"> 29 repo migrations </w:t>
      </w:r>
      <w:r>
        <w:rPr>
          <w:rFonts w:ascii="Consolas" w:hAnsi="Consolas"/>
          <w:sz w:val="19"/>
        </w:rPr>
        <w:t>ALTER</w:t>
      </w:r>
      <w:r>
        <w:t xml:space="preserve"> shared tables (</w:t>
      </w:r>
      <w:r>
        <w:rPr>
          <w:rFonts w:ascii="Consolas" w:hAnsi="Consolas"/>
          <w:sz w:val="19"/>
        </w:rPr>
        <w:t>erp_customers</w:t>
      </w:r>
      <w:r>
        <w:t xml:space="preserve">, </w:t>
      </w:r>
      <w:r>
        <w:rPr>
          <w:rFonts w:ascii="Consolas" w:hAnsi="Consolas"/>
          <w:sz w:val="19"/>
        </w:rPr>
        <w:t>erp_products_catalog</w:t>
      </w:r>
      <w:r>
        <w:t xml:space="preserve">, </w:t>
      </w:r>
      <w:r>
        <w:rPr>
          <w:rFonts w:ascii="Consolas" w:hAnsi="Consolas"/>
          <w:sz w:val="19"/>
        </w:rPr>
        <w:t>erp_invoices</w:t>
      </w:r>
      <w:r>
        <w:t xml:space="preserve">, …) expecting the repo's column set; kako-fmcg's versions came from different migrations → </w:t>
      </w:r>
      <w:r>
        <w:rPr>
          <w:b/>
        </w:rPr>
        <w:t>ALTER/constraint conflicts likely</w:t>
      </w:r>
      <w:r>
        <w:t>.</w:t>
      </w:r>
    </w:p>
    <w:p>
      <w:pPr>
        <w:pStyle w:val="ListBullet"/>
      </w:pPr>
      <w:r>
        <w:rPr>
          <w:b/>
        </w:rPr>
        <w:t>RPCs:</w:t>
      </w:r>
      <w:r>
        <w:t xml:space="preserve"> 153 </w:t>
      </w:r>
      <w:r>
        <w:rPr>
          <w:rFonts w:ascii="Consolas" w:hAnsi="Consolas"/>
          <w:sz w:val="19"/>
        </w:rPr>
        <w:t>DROP/CREATE</w:t>
      </w:r>
      <w:r>
        <w:t xml:space="preserve"> function sites; many repo functions (e.g. </w:t>
      </w:r>
      <w:r>
        <w:rPr>
          <w:rFonts w:ascii="Consolas" w:hAnsi="Consolas"/>
          <w:sz w:val="19"/>
        </w:rPr>
        <w:t>erp_issue_invoice</w:t>
      </w:r>
      <w:r>
        <w:t xml:space="preserve">, </w:t>
      </w:r>
      <w:r>
        <w:rPr>
          <w:rFonts w:ascii="Consolas" w:hAnsi="Consolas"/>
          <w:sz w:val="19"/>
        </w:rPr>
        <w:t>erp_next_number</w:t>
      </w:r>
      <w:r>
        <w:t xml:space="preserve">) </w:t>
      </w:r>
      <w:r>
        <w:rPr>
          <w:b/>
        </w:rPr>
        <w:t>already exist on kako-fmcg with different bodies</w:t>
      </w:r>
      <w:r>
        <w:t xml:space="preserve"> (its fashion line changed them) → </w:t>
      </w:r>
      <w:r>
        <w:rPr>
          <w:rFonts w:ascii="Consolas" w:hAnsi="Consolas"/>
          <w:sz w:val="19"/>
        </w:rPr>
        <w:t>CREATE OR REPLACE</w:t>
      </w:r>
      <w:r>
        <w:t xml:space="preserve"> would silently overwrite kako-fmcg's behavior, risking its fashion/retail flows.</w:t>
      </w:r>
    </w:p>
    <w:p>
      <w:pPr>
        <w:pStyle w:val="ListBullet"/>
      </w:pPr>
      <w:r>
        <w:rPr>
          <w:b/>
        </w:rPr>
        <w:t>Permissions:</w:t>
      </w:r>
      <w:r>
        <w:t xml:space="preserve"> repo </w:t>
      </w:r>
      <w:r>
        <w:rPr>
          <w:rFonts w:ascii="Consolas" w:hAnsi="Consolas"/>
          <w:sz w:val="19"/>
        </w:rPr>
        <w:t>0109/0134/0142</w:t>
      </w:r>
      <w:r>
        <w:t xml:space="preserve"> re-seed </w:t>
      </w:r>
      <w:r>
        <w:rPr>
          <w:rFonts w:ascii="Consolas" w:hAnsi="Consolas"/>
          <w:sz w:val="19"/>
        </w:rPr>
        <w:t>erp_role_permissions</w:t>
      </w:r>
      <w:r>
        <w:t>; kako-fmcg has its own grants → divergence/overwrite.</w:t>
      </w:r>
    </w:p>
    <w:p>
      <w:pPr>
        <w:pStyle w:val="ListBullet"/>
      </w:pPr>
      <w:r>
        <w:rPr>
          <w:b/>
        </w:rPr>
        <w:t>Indexes/constraints:</w:t>
      </w:r>
      <w:r>
        <w:t xml:space="preserve"> repo </w:t>
      </w:r>
      <w:r>
        <w:rPr>
          <w:rFonts w:ascii="Consolas" w:hAnsi="Consolas"/>
          <w:sz w:val="19"/>
        </w:rPr>
        <w:t>0268</w:t>
      </w:r>
      <w:r>
        <w:t xml:space="preserve"> (tenant-scoped numbering) and others add/replace unique indexes; kako-fmcg has the </w:t>
      </w:r>
      <w:r>
        <w:rPr>
          <w:b/>
        </w:rPr>
        <w:t>old global</w:t>
      </w:r>
      <w:r>
        <w:t xml:space="preserve"> numbering (</w:t>
      </w:r>
      <w:r>
        <w:rPr>
          <w:rFonts w:ascii="Consolas" w:hAnsi="Consolas"/>
          <w:sz w:val="19"/>
        </w:rPr>
        <w:t>0039_fix_global_document_numbering</w:t>
      </w:r>
      <w:r>
        <w:t>) → index swap may conflict with existing duplicate-shaped data.</w:t>
      </w:r>
    </w:p>
    <w:p>
      <w:pPr>
        <w:pStyle w:val="Heading2"/>
      </w:pPr>
      <w:r>
        <w:rPr>
          <w:color w:val="1F497D"/>
        </w:rPr>
        <w:t>7. Upgrade risk estimate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Linear chain-apply (0001–0268) on kako-fmcg</w:t>
            </w:r>
          </w:p>
        </w:tc>
        <w:tc>
          <w:tcPr>
            <w:tcW w:type="dxa" w:w="2880"/>
          </w:tcPr>
          <w:p>
            <w:r>
              <w:t xml:space="preserve">🔴 </w:t>
            </w:r>
            <w:r>
              <w:rPr>
                <w:b/>
              </w:rPr>
              <w:t>Very High / not viable</w:t>
            </w:r>
          </w:p>
        </w:tc>
        <w:tc>
          <w:tcPr>
            <w:tcW w:type="dxa" w:w="2880"/>
          </w:tcPr>
          <w:p>
            <w:r>
              <w:t>Conflicts on shared-table ALTERs, function overwrites, NOT-NULL backfills; likely aborts mid-way and/or breaks kako-fmcg's existing 21 verticals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Additive FMCG patch (Option B)</w:t>
            </w:r>
          </w:p>
        </w:tc>
        <w:tc>
          <w:tcPr>
            <w:tcW w:type="dxa" w:w="2880"/>
          </w:tcPr>
          <w:p>
            <w:r>
              <w:t xml:space="preserve">🟠 </w:t>
            </w:r>
            <w:r>
              <w:rPr>
                <w:b/>
              </w:rPr>
              <w:t>Medium</w:t>
            </w:r>
          </w:p>
        </w:tc>
        <w:tc>
          <w:tcPr>
            <w:tcW w:type="dxa" w:w="2880"/>
          </w:tcPr>
          <w:p>
            <w:r>
              <w:t xml:space="preserve">Adds the 13 missing FMCG tables + RPCs + perms only; preserves the 44 companies; does </w:t>
            </w:r>
            <w:r>
              <w:rPr>
                <w:b/>
              </w:rPr>
              <w:t>not</w:t>
            </w:r>
            <w:r>
              <w:t xml:space="preserve"> make kako-fmcg byte-match the repo; needs dependency reconciliation + backup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Wipe + rebuild from repo chain (Option C)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Low technical risk / 🔴 full data loss</w:t>
            </w:r>
          </w:p>
        </w:tc>
        <w:tc>
          <w:tcPr>
            <w:tcW w:type="dxa" w:w="2880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public</w:t>
            </w:r>
            <w:r>
              <w:t xml:space="preserve"> → apply </w:t>
            </w:r>
            <w:r>
              <w:rPr>
                <w:rFonts w:ascii="Consolas" w:hAnsi="Consolas"/>
                <w:sz w:val="19"/>
              </w:rPr>
              <w:t>0001–0268</w:t>
            </w:r>
            <w:r>
              <w:t xml:space="preserve"> fresh → </w:t>
            </w:r>
            <w:r>
              <w:rPr>
                <w:b/>
              </w:rPr>
              <w:t>exactly the repo schema</w:t>
            </w:r>
            <w:r>
              <w:t>; destroys all 44 companies, 60 users' app data, and the fashion/other-vertical features</w:t>
            </w:r>
          </w:p>
        </w:tc>
      </w:tr>
    </w:tbl>
    <w:p/>
    <w:p>
      <w:pPr>
        <w:pStyle w:val="Heading2"/>
      </w:pPr>
      <w:r>
        <w:rPr>
          <w:color w:val="1F497D"/>
        </w:rPr>
        <w:t>8. Step-by-step upgrade plan</w:t>
      </w:r>
    </w:p>
    <w:p>
      <w:r>
        <w:t xml:space="preserve">Because a linear chain-apply is not viable, the plan is offered for the </w:t>
      </w:r>
      <w:r>
        <w:rPr>
          <w:b/>
        </w:rPr>
        <w:t>two viable strategies</w:t>
      </w:r>
      <w:r>
        <w:t xml:space="preserve">. </w:t>
      </w:r>
      <w:r>
        <w:rPr>
          <w:b/>
        </w:rPr>
        <w:t>Recommended given "disposable" + "match the current repository schema": Option C.</w:t>
      </w:r>
    </w:p>
    <w:p>
      <w:pPr>
        <w:pStyle w:val="Heading3"/>
      </w:pPr>
      <w:r>
        <w:t>Option C — Wipe &amp; rebuild (faithful to the repo schema; recommended if data is disposable)</w:t>
      </w:r>
    </w:p>
    <w:p>
      <w:pPr>
        <w:pStyle w:val="ListNumber"/>
      </w:pPr>
      <w:r>
        <w:rPr>
          <w:b/>
        </w:rPr>
        <w:t>Backup</w:t>
      </w:r>
      <w:r>
        <w:t xml:space="preserve"> (see §10) — mandatory, verified restorable.</w:t>
      </w:r>
    </w:p>
    <w:p>
      <w:pPr>
        <w:pStyle w:val="ListNumber"/>
      </w:pPr>
      <w:r>
        <w:t>Capture an inventory snapshot of current companies/users (for the record).</w:t>
      </w:r>
    </w:p>
    <w:p>
      <w:pPr>
        <w:pStyle w:val="ListNumber"/>
      </w:pPr>
      <w:r>
        <w:rPr>
          <w:rFonts w:ascii="Consolas" w:hAnsi="Consolas"/>
          <w:sz w:val="19"/>
        </w:rPr>
        <w:t>DROP SCHEMA public CASCADE; CREATE SCHEMA public;</w:t>
      </w:r>
      <w:r>
        <w:t xml:space="preserve"> on kako-fmcg (via Supabase API) — and clear demo </w:t>
      </w:r>
      <w:r>
        <w:rPr>
          <w:rFonts w:ascii="Consolas" w:hAnsi="Consolas"/>
          <w:sz w:val="19"/>
        </w:rPr>
        <w:t>auth.users</w:t>
      </w:r>
      <w:r>
        <w:t xml:space="preserve"> if a clean identity set is wanted.</w:t>
      </w:r>
    </w:p>
    <w:p>
      <w:pPr>
        <w:pStyle w:val="ListNumber"/>
      </w:pPr>
      <w:r>
        <w:t xml:space="preserve">Apply the schema with the </w:t>
      </w:r>
      <w:r>
        <w:rPr>
          <w:b/>
        </w:rPr>
        <w:t>existing `provision-staging` workflow</w:t>
      </w:r>
      <w:r>
        <w:t xml:space="preserve"> pointed at kako-fmcg's connection (set </w:t>
      </w:r>
      <w:r>
        <w:rPr>
          <w:rFonts w:ascii="Consolas" w:hAnsi="Consolas"/>
          <w:sz w:val="19"/>
        </w:rPr>
        <w:t>STAGING_PROVISION_DATABASE_URL</w:t>
      </w:r>
      <w:r>
        <w:t xml:space="preserve"> to kako-fmcg's session-pooler string) → </w:t>
      </w:r>
      <w:r>
        <w:rPr>
          <w:rFonts w:ascii="Consolas" w:hAnsi="Consolas"/>
          <w:sz w:val="19"/>
        </w:rPr>
        <w:t>legacy-base.sql</w:t>
      </w:r>
      <w:r>
        <w:t xml:space="preserve"> + </w:t>
      </w:r>
      <w:r>
        <w:rPr>
          <w:rFonts w:ascii="Consolas" w:hAnsi="Consolas"/>
          <w:sz w:val="19"/>
        </w:rPr>
        <w:t>0001–0268</w:t>
      </w:r>
      <w:r>
        <w:t xml:space="preserve"> + integrity verify.</w:t>
      </w:r>
    </w:p>
    <w:p>
      <w:pPr>
        <w:pStyle w:val="ListNumber"/>
      </w:pPr>
      <w:r>
        <w:t>Provision the FMCG + Clothing reference tenants, demo users/passwords (same as the staging plan).</w:t>
      </w:r>
    </w:p>
    <w:p>
      <w:pPr>
        <w:pStyle w:val="ListNumber"/>
      </w:pPr>
      <w:r>
        <w:t>Validate (see §11).</w:t>
      </w:r>
    </w:p>
    <w:p>
      <w:pPr>
        <w:pStyle w:val="Heading3"/>
      </w:pPr>
      <w:r>
        <w:t>Option B — Additive FMCG patch (preserves the 44 companies)</w:t>
      </w:r>
    </w:p>
    <w:p>
      <w:pPr>
        <w:pStyle w:val="ListNumber"/>
      </w:pPr>
      <w:r>
        <w:rPr>
          <w:b/>
        </w:rPr>
        <w:t>Backup</w:t>
      </w:r>
      <w:r>
        <w:t xml:space="preserve"> (mandatory).</w:t>
      </w:r>
    </w:p>
    <w:p>
      <w:pPr>
        <w:pStyle w:val="ListNumber"/>
      </w:pPr>
      <w:r>
        <w:t xml:space="preserve">Author one </w:t>
      </w:r>
      <w:r>
        <w:rPr>
          <w:b/>
        </w:rPr>
        <w:t>idempotent, additive</w:t>
      </w:r>
      <w:r>
        <w:t xml:space="preserve"> migration that creates only the 13 missing FMCG tables + their RPCs + permission rows, with </w:t>
      </w:r>
      <w:r>
        <w:rPr>
          <w:rFonts w:ascii="Consolas" w:hAnsi="Consolas"/>
          <w:sz w:val="19"/>
        </w:rPr>
        <w:t>IF NOT EXISTS</w:t>
      </w:r>
      <w:r>
        <w:t xml:space="preserve"> / </w:t>
      </w:r>
      <w:r>
        <w:rPr>
          <w:rFonts w:ascii="Consolas" w:hAnsi="Consolas"/>
          <w:sz w:val="19"/>
        </w:rPr>
        <w:t>ON CONFLICT</w:t>
      </w:r>
      <w:r>
        <w:t xml:space="preserve">, </w:t>
      </w:r>
      <w:r>
        <w:rPr>
          <w:b/>
        </w:rPr>
        <w:t>touching no existing table destructively</w:t>
      </w:r>
      <w:r>
        <w:t xml:space="preserve"> and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CREATE OR REPLACE</w:t>
      </w:r>
      <w:r>
        <w:t>-ing functions kako-fmcg already defines differently.</w:t>
      </w:r>
    </w:p>
    <w:p>
      <w:pPr>
        <w:pStyle w:val="ListNumber"/>
      </w:pPr>
      <w:r>
        <w:t xml:space="preserve">Reconcile dependencies (e.g. </w:t>
      </w:r>
      <w:r>
        <w:rPr>
          <w:rFonts w:ascii="Consolas" w:hAnsi="Consolas"/>
          <w:sz w:val="19"/>
        </w:rPr>
        <w:t>erp_user_has_permission</w:t>
      </w:r>
      <w:r>
        <w:t xml:space="preserve">, </w:t>
      </w:r>
      <w:r>
        <w:rPr>
          <w:rFonts w:ascii="Consolas" w:hAnsi="Consolas"/>
          <w:sz w:val="19"/>
        </w:rPr>
        <w:t>erp_resolve_price</w:t>
      </w:r>
      <w:r>
        <w:t>) against kako-fmcg's existing objects.</w:t>
      </w:r>
    </w:p>
    <w:p>
      <w:pPr>
        <w:pStyle w:val="ListNumber"/>
      </w:pPr>
      <w:r>
        <w:t>Apply via Supabase API (small, fits), verify, then provision the FMCG reference tenant.</w:t>
      </w:r>
    </w:p>
    <w:p>
      <w:pPr>
        <w:pStyle w:val="ListNumber"/>
      </w:pPr>
      <w:r>
        <w:t>Validate.</w:t>
      </w:r>
    </w:p>
    <w:p>
      <w:pPr>
        <w:pStyle w:val="Heading2"/>
      </w:pPr>
      <w:r>
        <w:rPr>
          <w:color w:val="1F497D"/>
        </w:rPr>
        <w:t>9. Rollback strategy</w:t>
      </w:r>
    </w:p>
    <w:p>
      <w:pPr>
        <w:pStyle w:val="ListBullet"/>
      </w:pPr>
      <w:r>
        <w:rPr>
          <w:b/>
        </w:rPr>
        <w:t>Primary:</w:t>
      </w:r>
      <w:r>
        <w:t xml:space="preserve"> restore from the pre-change backup/PITR (Supabase dashboard) — full revert.</w:t>
      </w:r>
    </w:p>
    <w:p>
      <w:pPr>
        <w:pStyle w:val="ListBullet"/>
      </w:pPr>
      <w:r>
        <w:rPr>
          <w:b/>
        </w:rPr>
        <w:t>Option C:</w:t>
      </w:r>
      <w:r>
        <w:t xml:space="preserve"> rollback = restore backup (the wipe is otherwise irreversible).</w:t>
      </w:r>
    </w:p>
    <w:p>
      <w:pPr>
        <w:pStyle w:val="ListBullet"/>
      </w:pPr>
      <w:r>
        <w:rPr>
          <w:b/>
        </w:rPr>
        <w:t>Option B:</w:t>
      </w:r>
      <w:r>
        <w:t xml:space="preserve"> each new object is additive; rollback = </w:t>
      </w:r>
      <w:r>
        <w:rPr>
          <w:rFonts w:ascii="Consolas" w:hAnsi="Consolas"/>
          <w:sz w:val="19"/>
        </w:rPr>
        <w:t>DROP</w:t>
      </w:r>
      <w:r>
        <w:t xml:space="preserve"> the objects created by the single patch migration (script the inverse), or restore backup. No existing object is altered, so revert is clean.</w:t>
      </w:r>
    </w:p>
    <w:p>
      <w:pPr>
        <w:pStyle w:val="ListBullet"/>
      </w:pPr>
      <w:r>
        <w:rPr>
          <w:b/>
        </w:rPr>
        <w:t>Hard gate:</w:t>
      </w:r>
      <w:r>
        <w:t xml:space="preserve"> do not start until a </w:t>
      </w:r>
      <w:r>
        <w:rPr>
          <w:b/>
        </w:rPr>
        <w:t>verified restorable</w:t>
      </w:r>
      <w:r>
        <w:t xml:space="preserve"> backup exists.</w:t>
      </w:r>
    </w:p>
    <w:p>
      <w:pPr>
        <w:pStyle w:val="Heading2"/>
      </w:pPr>
      <w:r>
        <w:rPr>
          <w:color w:val="1F497D"/>
        </w:rPr>
        <w:t>10. Backup requirements</w:t>
      </w:r>
    </w:p>
    <w:p>
      <w:pPr>
        <w:pStyle w:val="ListBullet"/>
      </w:pPr>
      <w:r>
        <w:t xml:space="preserve">I </w:t>
      </w:r>
      <w:r>
        <w:rPr>
          <w:b/>
        </w:rPr>
        <w:t>cannot</w:t>
      </w:r>
      <w:r>
        <w:t xml:space="preserve"> take a backup with the available tooling (no MCP backup trigger; no Postgres egress for </w:t>
      </w:r>
      <w:r>
        <w:rPr>
          <w:rFonts w:ascii="Consolas" w:hAnsi="Consolas"/>
          <w:sz w:val="19"/>
        </w:rPr>
        <w:t>pg_dump</w:t>
      </w:r>
      <w:r>
        <w:t>).</w:t>
      </w:r>
    </w:p>
    <w:p>
      <w:pPr>
        <w:pStyle w:val="ListBullet"/>
      </w:pPr>
      <w:r>
        <w:rPr>
          <w:b/>
        </w:rPr>
        <w:t>You must</w:t>
      </w:r>
      <w:r>
        <w:t xml:space="preserve">, before any change: enable </w:t>
      </w:r>
      <w:r>
        <w:rPr>
          <w:b/>
        </w:rPr>
        <w:t>PITR</w:t>
      </w:r>
      <w:r>
        <w:t xml:space="preserve"> or take an on-demand backup in the Supabase dashboard (</w:t>
      </w:r>
      <w:r>
        <w:rPr>
          <w:rFonts w:ascii="Consolas" w:hAnsi="Consolas"/>
          <w:sz w:val="19"/>
        </w:rPr>
        <w:t>kako-fmcg</w:t>
      </w:r>
      <w:r>
        <w:t xml:space="preserve"> → Database → Backups), </w:t>
      </w:r>
      <w:r>
        <w:rPr>
          <w:b/>
        </w:rPr>
        <w:t>and confirm it's restorable</w:t>
      </w:r>
      <w:r>
        <w:t xml:space="preserve">. For extra safety, a </w:t>
      </w:r>
      <w:r>
        <w:rPr>
          <w:rFonts w:ascii="Consolas" w:hAnsi="Consolas"/>
          <w:sz w:val="19"/>
        </w:rPr>
        <w:t>pg_dump</w:t>
      </w:r>
      <w:r>
        <w:t xml:space="preserve"> from a machine that can reach the DB.</w:t>
      </w:r>
    </w:p>
    <w:p>
      <w:pPr>
        <w:pStyle w:val="Heading2"/>
      </w:pPr>
      <w:r>
        <w:rPr>
          <w:color w:val="1F497D"/>
        </w:rPr>
        <w:t>11. Validation criteria (post-upgrade)</w:t>
      </w:r>
    </w:p>
    <w:p>
      <w:pPr>
        <w:pStyle w:val="ListBullet"/>
      </w:pPr>
      <w:r>
        <w:rPr>
          <w:b/>
        </w:rPr>
        <w:t>Schema integrity:</w:t>
      </w:r>
      <w:r>
        <w:t xml:space="preserve"> the provisioner's check passes (all PR #311 objects present), or for Option B, the 13 tables + RPCs exist.</w:t>
      </w:r>
    </w:p>
    <w:p>
      <w:pPr>
        <w:pStyle w:val="ListBullet"/>
      </w:pPr>
      <w:r>
        <w:rPr>
          <w:b/>
        </w:rPr>
        <w:t>Existing data intact</w:t>
      </w:r>
      <w:r>
        <w:t xml:space="preserve"> (Option B): company/user/invoice counts unchanged (44 / 60 / 145); spot-check 2–3 non-FMCG verticals still function.</w:t>
      </w:r>
    </w:p>
    <w:p>
      <w:pPr>
        <w:pStyle w:val="ListBullet"/>
      </w:pPr>
      <w:r>
        <w:rPr>
          <w:b/>
        </w:rPr>
        <w:t>FMCG works:</w:t>
      </w:r>
      <w:r>
        <w:t xml:space="preserve"> provision the FMCG reference tenant; run the dry-run (</w:t>
      </w:r>
      <w:r>
        <w:rPr>
          <w:rFonts w:ascii="Consolas" w:hAnsi="Consolas"/>
          <w:sz w:val="19"/>
        </w:rPr>
        <w:t>INV-…</w:t>
      </w:r>
      <w:r>
        <w:t xml:space="preserve">, collection, return+CN, reconciliation variance 0) and the </w:t>
      </w:r>
      <w:r>
        <w:rPr>
          <w:b/>
        </w:rPr>
        <w:t>109-assertion</w:t>
      </w:r>
      <w:r>
        <w:t xml:space="preserve"> role validation — all green.</w:t>
      </w:r>
    </w:p>
    <w:p>
      <w:pPr>
        <w:pStyle w:val="ListBullet"/>
      </w:pPr>
      <w:r>
        <w:rPr>
          <w:b/>
        </w:rPr>
        <w:t>Logins:</w:t>
      </w:r>
      <w:r>
        <w:t xml:space="preserve"> every demo user authenticates.</w:t>
      </w:r>
    </w:p>
    <w:p>
      <w:pPr>
        <w:pStyle w:val="ListBullet"/>
      </w:pPr>
      <w:r>
        <w:rPr>
          <w:b/>
        </w:rPr>
        <w:t>No regressions:</w:t>
      </w:r>
      <w:r>
        <w:t xml:space="preserve"> existing RLS/permissions for the other verticals unchanged (Option B) — confirm a sample of their grants.</w:t>
      </w:r>
    </w:p>
    <w:p>
      <w:pPr>
        <w:pStyle w:val="Heading2"/>
      </w:pPr>
      <w:r>
        <w:rPr>
          <w:color w:val="1F497D"/>
        </w:rPr>
        <w:t>Recommendation</w:t>
      </w:r>
    </w:p>
    <w:p>
      <w:pPr>
        <w:pStyle w:val="ListBullet"/>
      </w:pPr>
      <w:r>
        <w:t xml:space="preserve">If kako-fmcg's data is </w:t>
      </w:r>
      <w:r>
        <w:rPr>
          <w:b/>
        </w:rPr>
        <w:t>truly disposable</w:t>
      </w:r>
      <w:r>
        <w:t xml:space="preserve"> and you want it to </w:t>
      </w:r>
      <w:r>
        <w:rPr>
          <w:b/>
        </w:rPr>
        <w:t>match the repo exactly</w:t>
      </w:r>
      <w:r>
        <w:t xml:space="preserve"> → </w:t>
      </w:r>
      <w:r>
        <w:rPr>
          <w:b/>
        </w:rPr>
        <w:t>Option C</w:t>
      </w:r>
      <w:r>
        <w:t xml:space="preserve"> (clean, lowest technical risk; destroys current data — needs backup + the connection secret for the apply step).</w:t>
      </w:r>
    </w:p>
    <w:p>
      <w:pPr>
        <w:pStyle w:val="ListBullet"/>
      </w:pPr>
      <w:r>
        <w:t xml:space="preserve">If you want to </w:t>
      </w:r>
      <w:r>
        <w:rPr>
          <w:b/>
        </w:rPr>
        <w:t>keep the 44 companies</w:t>
      </w:r>
      <w:r>
        <w:t xml:space="preserve"> and just </w:t>
      </w:r>
      <w:r>
        <w:rPr>
          <w:b/>
        </w:rPr>
        <w:t>add FMCG</w:t>
      </w:r>
      <w:r>
        <w:t xml:space="preserve"> → </w:t>
      </w:r>
      <w:r>
        <w:rPr>
          <w:b/>
        </w:rPr>
        <w:t>Option B</w:t>
      </w:r>
      <w:r>
        <w:t xml:space="preserve"> (additive, medium risk).</w:t>
      </w:r>
    </w:p>
    <w:p>
      <w:pPr>
        <w:pStyle w:val="ListBullet"/>
      </w:pPr>
      <w:r>
        <w:t xml:space="preserve">A blind </w:t>
      </w:r>
      <w:r>
        <w:rPr>
          <w:b/>
        </w:rPr>
        <w:t>linear chain-apply is not on the table</w:t>
      </w:r>
      <w:r>
        <w:t xml:space="preserve"> — it would conflict and likely break the environment.</w:t>
      </w:r>
    </w:p>
    <w:p>
      <w:r>
        <w:rPr>
          <w:b/>
        </w:rPr>
        <w:t>No changes will be made until you approve one of these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