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Customer Account Statement — Design</w:t>
      </w:r>
    </w:p>
    <w:p>
      <w:pPr>
        <w:jc w:val="center"/>
      </w:pPr>
      <w:r>
        <w:rPr>
          <w:i/>
          <w:sz w:val="22"/>
        </w:rPr>
        <w:t>FMCG · design-first · reuse-only (no new engine) · 2026-06-14</w:t>
      </w:r>
    </w:p>
    <w:p>
      <w:r>
        <w:rPr>
          <w:b w:val="0"/>
          <w:i/>
        </w:rPr>
        <w:t>Design-first. No code; no new platform engine. Everything reuses existing tables, helpers, components, print templates and the Collect-Now deep link. Additive and flag-safe.</w:t>
      </w:r>
    </w:p>
    <w:p>
      <w:pPr>
        <w:pStyle w:val="Heading1"/>
      </w:pPr>
      <w:r>
        <w:rPr>
          <w:color w:val="1F497D"/>
        </w:rPr>
        <w:t>1. Goal</w:t>
      </w:r>
    </w:p>
    <w:p>
      <w:r>
        <w:rPr>
          <w:b w:val="0"/>
          <w:i w:val="0"/>
        </w:rPr>
        <w:t>A full customer account statement (not a flat report): summary header, running debit/credit/balance ledger, open invoices, AR aging, print/PDF and a Collect Now action — with role-specific UX for Salesman, Supervisor and Company Admin, built on existing invoices, collections, allocations, customer balances and the existing aging logic.</w:t>
      </w:r>
    </w:p>
    <w:p>
      <w:pPr>
        <w:pStyle w:val="Heading1"/>
      </w:pPr>
      <w:r>
        <w:rPr>
          <w:color w:val="1F497D"/>
        </w:rPr>
        <w:t>2. The one data-sourcing rule (critical)</w:t>
      </w:r>
    </w:p>
    <w:p>
      <w:r>
        <w:rPr>
          <w:b w:val="0"/>
          <w:i w:val="0"/>
        </w:rPr>
        <w:t>The current customer page builds ledger credits from erp_payments — empty for FMCG/van-sales, where payments live in erp_collections + erp_collection_allocations (same root cause as the print-receipt bug just fixed). The statement sources the ledger from both, authoritatively: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Ledger side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t>Debit (owed)</w:t>
            </w:r>
          </w:p>
        </w:tc>
        <w:tc>
          <w:tcPr>
            <w:tcW w:type="dxa" w:w="2880"/>
          </w:tcPr>
          <w:p>
            <w:r>
              <w:t>erp_invoices (status ≠ draft/cancelled)</w:t>
            </w:r>
          </w:p>
        </w:tc>
        <w:tc>
          <w:tcPr>
            <w:tcW w:type="dxa" w:w="2880"/>
          </w:tcPr>
          <w:p>
            <w:r>
              <w:t>net_amount</w:t>
            </w:r>
          </w:p>
        </w:tc>
      </w:tr>
      <w:tr>
        <w:tc>
          <w:tcPr>
            <w:tcW w:type="dxa" w:w="2880"/>
          </w:tcPr>
          <w:p>
            <w:r>
              <w:t>Credit (paid)</w:t>
            </w:r>
          </w:p>
        </w:tc>
        <w:tc>
          <w:tcPr>
            <w:tcW w:type="dxa" w:w="2880"/>
          </w:tcPr>
          <w:p>
            <w:r>
              <w:t>erp_collections (+ allocations for invoice linkage)</w:t>
            </w:r>
          </w:p>
        </w:tc>
        <w:tc>
          <w:tcPr>
            <w:tcW w:type="dxa" w:w="2880"/>
          </w:tcPr>
          <w:p>
            <w:r>
              <w:t>amount / applied_amount</w:t>
            </w:r>
          </w:p>
        </w:tc>
      </w:tr>
      <w:tr>
        <w:tc>
          <w:tcPr>
            <w:tcW w:type="dxa" w:w="2880"/>
          </w:tcPr>
          <w:p>
            <w:r>
              <w:t>Credit (legacy)</w:t>
            </w:r>
          </w:p>
        </w:tc>
        <w:tc>
          <w:tcPr>
            <w:tcW w:type="dxa" w:w="2880"/>
          </w:tcPr>
          <w:p>
            <w:r>
              <w:t>erp_payments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Credit (returns)</w:t>
            </w:r>
          </w:p>
        </w:tc>
        <w:tc>
          <w:tcPr>
            <w:tcW w:type="dxa" w:w="2880"/>
          </w:tcPr>
          <w:p>
            <w:r>
              <w:t>credit notes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</w:tbl>
    <w:p>
      <w:r>
        <w:rPr>
          <w:b w:val="0"/>
          <w:i w:val="0"/>
        </w:rPr>
        <w:t>Running balance = Σ debits − Σ credits by date. The closing balance must reconcile to erp_customers.balance (a built-in self-check surfaced to admins).</w:t>
      </w:r>
    </w:p>
    <w:p>
      <w:pPr>
        <w:pStyle w:val="Heading1"/>
      </w:pPr>
      <w:r>
        <w:rPr>
          <w:color w:val="1F497D"/>
        </w:rPr>
        <w:t>3. Server builder (one helper, reused by all roles + print)</w:t>
      </w:r>
    </w:p>
    <w:p>
      <w:r>
        <w:rPr>
          <w:b w:val="0"/>
          <w:i w:val="0"/>
        </w:rPr>
        <w:t>A single read-only function (query + existing aging math): loadCustomerStatement(customerId, {from?, to?}) → { customer, summary (creditLimit, currentBalance, availableCredit, overdueAmount, openInvoiceCount, oldestInvoiceDays), aging (current/d30/d60/d90/d90p), openInvoices[], ledger (StatementEntry[]), openingBalance? }.</w:t>
      </w:r>
    </w:p>
    <w:p>
      <w:r>
        <w:rPr>
          <w:b w:val="0"/>
          <w:i w:val="0"/>
        </w:rPr>
        <w:t>Reuses: bucketFor() + bucket labels (accounting/aging); availableCreditFor / creditStatusOf / overdueDays (van-sales/sell.ts); loadCustomerOutstanding (collect-server.ts); StatementEntry (statement-table.tsx); INVOICE_STATUS_LABELS / PAYMENT_METHOD_LABELS (constants.ts). No writes; RLS-scoped (branch isolation automatic).</w:t>
      </w:r>
    </w:p>
    <w:p>
      <w:pPr>
        <w:pStyle w:val="Heading1"/>
      </w:pPr>
      <w:r>
        <w:rPr>
          <w:color w:val="1F497D"/>
        </w:rPr>
        <w:t>4. Sections (the statement screen)</w:t>
      </w:r>
    </w:p>
    <w:p>
      <w:pPr>
        <w:pStyle w:val="ListNumber"/>
      </w:pPr>
      <w:r>
        <w:t>Customer summary — name/code/phone, status badge, and the credit panel already built: Credit limit · Current balance · Available credit · Overdue amount (+ the Good/Near/Over/Overdue/Cash status + reason from CreditStandingCard).</w:t>
      </w:r>
    </w:p>
    <w:p>
      <w:pPr>
        <w:pStyle w:val="ListNumber"/>
      </w:pPr>
      <w:r>
        <w:t>Aging buckets — Current / 1-30 / 31-60 / 61-90 / 90+ (reuse accounting.aging.* labels + bucketFor). Each bucket clickable to filter open invoices.</w:t>
      </w:r>
    </w:p>
    <w:p>
      <w:pPr>
        <w:pStyle w:val="ListNumber"/>
      </w:pPr>
      <w:r>
        <w:t>Open invoices — number, date, due date, net, paid, outstanding, status, days overdue. Oldest-first (matches the collect flow).</w:t>
      </w:r>
    </w:p>
    <w:p>
      <w:pPr>
        <w:pStyle w:val="ListNumber"/>
      </w:pPr>
      <w:r>
        <w:t>Running statement (ledger) — the reusable StatementTable (date · reference · description · debit · credit · running balance). Optional date-range with opening balance carried forward.</w:t>
      </w:r>
    </w:p>
    <w:p>
      <w:pPr>
        <w:pStyle w:val="ListNumber"/>
      </w:pPr>
      <w:r>
        <w:t>Actions — Print / PDF and Collect Now.</w:t>
      </w:r>
    </w:p>
    <w:p>
      <w:pPr>
        <w:pStyle w:val="Heading1"/>
      </w:pPr>
      <w:r>
        <w:rPr>
          <w:color w:val="1F497D"/>
        </w:rPr>
        <w:t>5. Print / PDF (reuse, no PDF engine)</w:t>
      </w:r>
    </w:p>
    <w:p>
      <w:pPr>
        <w:pStyle w:val="ListBullet"/>
      </w:pPr>
      <w:r>
        <w:t>Reuse /print/statement/[id] (bilingual, running balance, BrandLogo, PrintButton) — enhanced to render the FULL statement (summary + aging + open invoices + ledger) from the SAME builder, so screen and print never diverge. Fix its credit source to collections (per §2).</w:t>
      </w:r>
    </w:p>
    <w:p>
      <w:pPr>
        <w:pStyle w:val="ListBullet"/>
      </w:pPr>
      <w:r>
        <w:t>PDF = browser “Save as PDF” from that print route (existing pattern; no new dependency/engine). Optional ?from=&amp;to= for a period statement.</w:t>
      </w:r>
    </w:p>
    <w:p>
      <w:pPr>
        <w:pStyle w:val="Heading1"/>
      </w:pPr>
      <w:r>
        <w:rPr>
          <w:color w:val="1F497D"/>
        </w:rPr>
        <w:t>6. Collect Now (reuse the deep link)</w:t>
      </w:r>
    </w:p>
    <w:p>
      <w:r>
        <w:rPr>
          <w:b w:val="0"/>
          <w:i w:val="0"/>
        </w:rPr>
        <w:t>Collect Now routes to /field/van-sales/collect?customer=&lt;id&gt; (auto-loads outstanding). For desktop accounting users without a van, it routes to /collections preselected to the customer. Shown when the user holds sales.collect and outstanding &gt; 0; on blocked customers it is the primary CTA.</w:t>
      </w:r>
    </w:p>
    <w:p>
      <w:pPr>
        <w:pStyle w:val="Heading1"/>
      </w:pPr>
      <w:r>
        <w:rPr>
          <w:color w:val="1F497D"/>
        </w:rPr>
        <w:t>7. Role-specific UX (one builder, three entry points / scopes)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Salesman (field.sales)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Company Admin / Accountant (accounting.view)</w:t>
            </w:r>
          </w:p>
        </w:tc>
      </w:tr>
      <w:tr>
        <w:tc>
          <w:tcPr>
            <w:tcW w:type="dxa" w:w="2160"/>
          </w:tcPr>
          <w:p>
            <w:r>
              <w:t>Entry point</w:t>
            </w:r>
          </w:p>
        </w:tc>
        <w:tc>
          <w:tcPr>
            <w:tcW w:type="dxa" w:w="2160"/>
          </w:tcPr>
          <w:p>
            <w:r>
              <w:t>Van-Sell customer card / Collect → Statement; customer row in Today/route</w:t>
            </w:r>
          </w:p>
        </w:tc>
        <w:tc>
          <w:tcPr>
            <w:tcW w:type="dxa" w:w="2160"/>
          </w:tcPr>
          <w:p>
            <w:r>
              <w:t>Branch AR list / aging → drill into customer</w:t>
            </w:r>
          </w:p>
        </w:tc>
        <w:tc>
          <w:tcPr>
            <w:tcW w:type="dxa" w:w="2160"/>
          </w:tcPr>
          <w:p>
            <w:r>
              <w:t>Accounting → Aging / Customers → drill; or /customers/[id]</w:t>
            </w:r>
          </w:p>
        </w:tc>
      </w:tr>
      <w:tr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His route/branch only (RLS)</w:t>
            </w:r>
          </w:p>
        </w:tc>
        <w:tc>
          <w:tcPr>
            <w:tcW w:type="dxa" w:w="2160"/>
          </w:tcPr>
          <w:p>
            <w:r>
              <w:t>His branch(es)</w:t>
            </w:r>
          </w:p>
        </w:tc>
        <w:tc>
          <w:tcPr>
            <w:tcW w:type="dxa" w:w="2160"/>
          </w:tcPr>
          <w:p>
            <w:r>
              <w:t>All branches</w:t>
            </w:r>
          </w:p>
        </w:tc>
      </w:tr>
      <w:tr>
        <w:tc>
          <w:tcPr>
            <w:tcW w:type="dxa" w:w="2160"/>
          </w:tcPr>
          <w:p>
            <w:r>
              <w:t>Layout</w:t>
            </w:r>
          </w:p>
        </w:tc>
        <w:tc>
          <w:tcPr>
            <w:tcW w:type="dxa" w:w="2160"/>
          </w:tcPr>
          <w:p>
            <w:r>
              <w:t>Mobile-first single column; big Collect Now</w:t>
            </w:r>
          </w:p>
        </w:tc>
        <w:tc>
          <w:tcPr>
            <w:tcW w:type="dxa" w:w="2160"/>
          </w:tcPr>
          <w:p>
            <w:r>
              <w:t>Mobile/desktop; “who’s overdue” lens</w:t>
            </w:r>
          </w:p>
        </w:tc>
        <w:tc>
          <w:tcPr>
            <w:tcW w:type="dxa" w:w="2160"/>
          </w:tcPr>
          <w:p>
            <w:r>
              <w:t>Desktop dense; period filter, opening balance, Export/PDF, reconciliation check</w:t>
            </w:r>
          </w:p>
        </w:tc>
      </w:tr>
      <w:tr>
        <w:tc>
          <w:tcPr>
            <w:tcW w:type="dxa" w:w="2160"/>
          </w:tcPr>
          <w:p>
            <w:r>
              <w:t>Primary action</w:t>
            </w:r>
          </w:p>
        </w:tc>
        <w:tc>
          <w:tcPr>
            <w:tcW w:type="dxa" w:w="2160"/>
          </w:tcPr>
          <w:p>
            <w:r>
              <w:t>Collect Now, Print receipt</w:t>
            </w:r>
          </w:p>
        </w:tc>
        <w:tc>
          <w:tcPr>
            <w:tcW w:type="dxa" w:w="2160"/>
          </w:tcPr>
          <w:p>
            <w:r>
              <w:t>Monitor + Collect Now (if sales.collect)</w:t>
            </w:r>
          </w:p>
        </w:tc>
        <w:tc>
          <w:tcPr>
            <w:tcW w:type="dxa" w:w="2160"/>
          </w:tcPr>
          <w:p>
            <w:r>
              <w:t>Print/PDF statement, period statements</w:t>
            </w:r>
          </w:p>
        </w:tc>
      </w:tr>
      <w:tr>
        <w:tc>
          <w:tcPr>
            <w:tcW w:type="dxa" w:w="2160"/>
          </w:tcPr>
          <w:p>
            <w:r>
              <w:t>Write actions</w:t>
            </w:r>
          </w:p>
        </w:tc>
        <w:tc>
          <w:tcPr>
            <w:tcW w:type="dxa" w:w="2160"/>
          </w:tcPr>
          <w:p>
            <w:r>
              <w:t>none (read + collect)</w:t>
            </w:r>
          </w:p>
        </w:tc>
        <w:tc>
          <w:tcPr>
            <w:tcW w:type="dxa" w:w="2160"/>
          </w:tcPr>
          <w:p>
            <w:r>
              <w:t>none (read + collect)</w:t>
            </w:r>
          </w:p>
        </w:tc>
        <w:tc>
          <w:tcPr>
            <w:tcW w:type="dxa" w:w="2160"/>
          </w:tcPr>
          <w:p>
            <w:r>
              <w:t>none from the statement</w:t>
            </w:r>
          </w:p>
        </w:tc>
      </w:tr>
    </w:tbl>
    <w:p>
      <w:r>
        <w:rPr>
          <w:b w:val="0"/>
          <w:i w:val="0"/>
        </w:rPr>
        <w:t>All three render the SAME component with role props (canCollect, scope, showPeriodFilter, showReconCheck) — no divergent logic.</w:t>
      </w:r>
    </w:p>
    <w:p>
      <w:pPr>
        <w:pStyle w:val="Heading1"/>
      </w:pPr>
      <w:r>
        <w:rPr>
          <w:color w:val="1F497D"/>
        </w:rPr>
        <w:t>8. Permissions &amp; routing</w:t>
      </w:r>
    </w:p>
    <w:p>
      <w:pPr>
        <w:pStyle w:val="ListBullet"/>
      </w:pPr>
      <w:r>
        <w:t>New additive route /customers/[id]/statement (or a tab on the customer page). Gate: customers.manage OR accounting.view OR field.sales. Branch isolation via RLS.</w:t>
      </w:r>
    </w:p>
    <w:p>
      <w:pPr>
        <w:pStyle w:val="ListBullet"/>
      </w:pPr>
      <w:r>
        <w:t>Collect Now gated by sales.collect. Print/PDF available to all who can view. No new permission string required.</w:t>
      </w:r>
    </w:p>
    <w:p>
      <w:pPr>
        <w:pStyle w:val="ListBullet"/>
      </w:pPr>
      <w:r>
        <w:t>Optional flag platform.customer_statement (default ON) only if a kill-switch is wanted; otherwise a plain additive screen.</w:t>
      </w:r>
    </w:p>
    <w:p>
      <w:pPr>
        <w:pStyle w:val="Heading1"/>
      </w:pPr>
      <w:r>
        <w:rPr>
          <w:color w:val="1F497D"/>
        </w:rPr>
        <w:t>9. Reuse map (nothing built from scratch)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Reused asset</w:t>
            </w:r>
          </w:p>
        </w:tc>
      </w:tr>
      <w:tr>
        <w:tc>
          <w:tcPr>
            <w:tcW w:type="dxa" w:w="4320"/>
          </w:tcPr>
          <w:p>
            <w:r>
              <w:t>Ledger table + running balance</w:t>
            </w:r>
          </w:p>
        </w:tc>
        <w:tc>
          <w:tcPr>
            <w:tcW w:type="dxa" w:w="4320"/>
          </w:tcPr>
          <w:p>
            <w:r>
              <w:t>src/components/statement-table.tsx</w:t>
            </w:r>
          </w:p>
        </w:tc>
      </w:tr>
      <w:tr>
        <w:tc>
          <w:tcPr>
            <w:tcW w:type="dxa" w:w="4320"/>
          </w:tcPr>
          <w:p>
            <w:r>
              <w:t>Statement print + PDF</w:t>
            </w:r>
          </w:p>
        </w:tc>
        <w:tc>
          <w:tcPr>
            <w:tcW w:type="dxa" w:w="4320"/>
          </w:tcPr>
          <w:p>
            <w:r>
              <w:t>src/app/(print)/print/statement/[id] (+ BrandLogo, PrintButton)</w:t>
            </w:r>
          </w:p>
        </w:tc>
      </w:tr>
      <w:tr>
        <w:tc>
          <w:tcPr>
            <w:tcW w:type="dxa" w:w="4320"/>
          </w:tcPr>
          <w:p>
            <w:r>
              <w:t>Aging buckets + math</w:t>
            </w:r>
          </w:p>
        </w:tc>
        <w:tc>
          <w:tcPr>
            <w:tcW w:type="dxa" w:w="4320"/>
          </w:tcPr>
          <w:p>
            <w:r>
              <w:t>src/app/(app)/accounting/aging/page.tsx (bucketFor)</w:t>
            </w:r>
          </w:p>
        </w:tc>
      </w:tr>
      <w:tr>
        <w:tc>
          <w:tcPr>
            <w:tcW w:type="dxa" w:w="4320"/>
          </w:tcPr>
          <w:p>
            <w:r>
              <w:t>Credit summary + status + reason</w:t>
            </w:r>
          </w:p>
        </w:tc>
        <w:tc>
          <w:tcPr>
            <w:tcW w:type="dxa" w:w="4320"/>
          </w:tcPr>
          <w:p>
            <w:r>
              <w:t>CreditStandingCard / creditStatusOf / availableCreditFor</w:t>
            </w:r>
          </w:p>
        </w:tc>
      </w:tr>
      <w:tr>
        <w:tc>
          <w:tcPr>
            <w:tcW w:type="dxa" w:w="4320"/>
          </w:tcPr>
          <w:p>
            <w:r>
              <w:t>Outstanding invoices</w:t>
            </w:r>
          </w:p>
        </w:tc>
        <w:tc>
          <w:tcPr>
            <w:tcW w:type="dxa" w:w="4320"/>
          </w:tcPr>
          <w:p>
            <w:r>
              <w:t>loadCustomerOutstanding (collect-server.ts)</w:t>
            </w:r>
          </w:p>
        </w:tc>
      </w:tr>
      <w:tr>
        <w:tc>
          <w:tcPr>
            <w:tcW w:type="dxa" w:w="4320"/>
          </w:tcPr>
          <w:p>
            <w:r>
              <w:t>Collections + allocations</w:t>
            </w:r>
          </w:p>
        </w:tc>
        <w:tc>
          <w:tcPr>
            <w:tcW w:type="dxa" w:w="4320"/>
          </w:tcPr>
          <w:p>
            <w:r>
              <w:t>erp_collections, erp_collection_allocations, supabase-gateway</w:t>
            </w:r>
          </w:p>
        </w:tc>
      </w:tr>
      <w:tr>
        <w:tc>
          <w:tcPr>
            <w:tcW w:type="dxa" w:w="4320"/>
          </w:tcPr>
          <w:p>
            <w:r>
              <w:t>Collect Now</w:t>
            </w:r>
          </w:p>
        </w:tc>
        <w:tc>
          <w:tcPr>
            <w:tcW w:type="dxa" w:w="4320"/>
          </w:tcPr>
          <w:p>
            <w:r>
              <w:t>/field/van-sales/collect?customer= · /collections</w:t>
            </w:r>
          </w:p>
        </w:tc>
      </w:tr>
      <w:tr>
        <w:tc>
          <w:tcPr>
            <w:tcW w:type="dxa" w:w="4320"/>
          </w:tcPr>
          <w:p>
            <w:r>
              <w:t>Status/method labels</w:t>
            </w:r>
          </w:p>
        </w:tc>
        <w:tc>
          <w:tcPr>
            <w:tcW w:type="dxa" w:w="4320"/>
          </w:tcPr>
          <w:p>
            <w:r>
              <w:t>INVOICE_STATUS_LABELS, PAYMENT_METHOD_LABELS (constants.ts)</w:t>
            </w:r>
          </w:p>
        </w:tc>
      </w:tr>
      <w:tr>
        <w:tc>
          <w:tcPr>
            <w:tcW w:type="dxa" w:w="4320"/>
          </w:tcPr>
          <w:p>
            <w:r>
              <w:t>i18n</w:t>
            </w:r>
          </w:p>
        </w:tc>
        <w:tc>
          <w:tcPr>
            <w:tcW w:type="dxa" w:w="4320"/>
          </w:tcPr>
          <w:p>
            <w:r>
              <w:t>customers.stmt*, accounting.aging.*, vanSales.collect.* (+ a few new keys)</w:t>
            </w:r>
          </w:p>
        </w:tc>
      </w:tr>
    </w:tbl>
    <w:p>
      <w:pPr>
        <w:pStyle w:val="Heading1"/>
      </w:pPr>
      <w:r>
        <w:rPr>
          <w:color w:val="1F497D"/>
        </w:rPr>
        <w:t>10. Build plan (when approved — additive, reversible)</w:t>
      </w:r>
    </w:p>
    <w:p>
      <w:pPr>
        <w:pStyle w:val="ListNumber"/>
      </w:pPr>
      <w:r>
        <w:t>loadCustomerStatement builder (read-only; invoices ⊕ collections ⊕ credit-notes ⊕ legacy payments → summary + aging + openInvoices + ledger). Also repoint the existing customer-statement page to it (fixes the collections-missing gap).</w:t>
      </w:r>
    </w:p>
    <w:p>
      <w:pPr>
        <w:pStyle w:val="ListNumber"/>
      </w:pPr>
      <w:r>
        <w:t>CustomerStatement component (sections §4) with role props; reuse StatementTable + CreditStandingCard.</w:t>
      </w:r>
    </w:p>
    <w:p>
      <w:pPr>
        <w:pStyle w:val="ListNumber"/>
      </w:pPr>
      <w:r>
        <w:t>Routes/entry points per role (§7) + Collect Now / Print-PDF actions.</w:t>
      </w:r>
    </w:p>
    <w:p>
      <w:pPr>
        <w:pStyle w:val="ListNumber"/>
      </w:pPr>
      <w:r>
        <w:t>Enhance /print/statement/[id] to the full statement via the same builder.</w:t>
      </w:r>
    </w:p>
    <w:p>
      <w:pPr>
        <w:pStyle w:val="ListNumber"/>
      </w:pPr>
      <w:r>
        <w:t>i18n (new keys, ar/en parity); unit-test pure parts (running balance, aging bucketing, available-credit, reconciliation check).</w:t>
      </w:r>
    </w:p>
    <w:p>
      <w:pPr>
        <w:pStyle w:val="ListNumber"/>
      </w:pPr>
      <w:r>
        <w:t>Staging validation on CRDEMO-* customers — the ledger closing balance must equal erp_customers.balance.</w:t>
      </w:r>
    </w:p>
    <w:p>
      <w:pPr>
        <w:pStyle w:val="Heading1"/>
      </w:pPr>
      <w:r>
        <w:rPr>
          <w:color w:val="1F497D"/>
        </w:rPr>
        <w:t>11. Recommendation</w:t>
      </w:r>
    </w:p>
    <w:p>
      <w:r>
        <w:rPr>
          <w:b w:val="0"/>
          <w:i w:val="0"/>
        </w:rPr>
        <w:t>Build it as one read-only statement builder + one component, three role entry points, and fix the existing statement’s credit source to collections at the same time (it currently under-reports FMCG payments). This is the highest-value “light reporting” item from the readiness refresh (B2) and needs no new engine — only reuse of invoices, collections, allocations, aging and the print/Collect-Now infrastructure already in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