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Pilot Validation Execution Report — FMCG (Runtime)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Pilot Validation Execution Report — FMCG Field Suite</w:t>
      </w:r>
    </w:p>
    <w:p>
      <w:r>
        <w:rPr>
          <w:b/>
        </w:rPr>
        <w:t>Runtime execution against the live staging database</w:t>
      </w:r>
      <w:r>
        <w:t xml:space="preserve"> (</w:t>
      </w:r>
      <w:r>
        <w:rPr>
          <w:rFonts w:ascii="Consolas" w:hAnsi="Consolas"/>
          <w:sz w:val="19"/>
        </w:rPr>
        <w:t>rsjvgehvastmawzwnqcs</w:t>
      </w:r>
      <w:r>
        <w:t>),</w:t>
      </w:r>
    </w:p>
    <w:p>
      <w:r>
        <w:t>driving the documented Per-Role Validation Runbook as the 8 real role identities.</w:t>
      </w:r>
    </w:p>
    <w:p>
      <w:r>
        <w:t>Per owner direction: **runtime correctness is the source of truth; screenshots are</w:t>
      </w:r>
    </w:p>
    <w:p>
      <w:r>
        <w:t>best-effort and must not block.** V1 was already deployed; V2/V3 carried as known</w:t>
      </w:r>
    </w:p>
    <w:p>
      <w:r>
        <w:t>gaps.</w:t>
      </w:r>
    </w:p>
    <w:p>
      <w:pPr>
        <w:pStyle w:val="Heading2"/>
      </w:pPr>
      <w:r>
        <w:rPr>
          <w:color w:val="1F497D"/>
        </w:rPr>
        <w:t>0. Method &amp; honesty notes</w:t>
      </w:r>
    </w:p>
    <w:p>
      <w:pPr>
        <w:pStyle w:val="ListBullet"/>
      </w:pPr>
      <w:r>
        <w:rPr>
          <w:b/>
        </w:rPr>
        <w:t>What was executed (source of truth):</w:t>
      </w:r>
      <w:r>
        <w:t xml:space="preserve"> each focus area was driven through the</w:t>
      </w:r>
    </w:p>
    <w:p>
      <w:r>
        <w:rPr>
          <w:b/>
        </w:rPr>
        <w:t>actual</w:t>
      </w:r>
      <w:r>
        <w:t xml:space="preserve"> database authorization function (</w:t>
      </w:r>
      <w:r>
        <w:rPr>
          <w:rFonts w:ascii="Consolas" w:hAnsi="Consolas"/>
          <w:sz w:val="19"/>
        </w:rPr>
        <w:t>erp_user_has_perm</w:t>
      </w:r>
      <w:r>
        <w:t xml:space="preserve"> / </w:t>
      </w:r>
      <w:r>
        <w:rPr>
          <w:rFonts w:ascii="Consolas" w:hAnsi="Consolas"/>
          <w:sz w:val="19"/>
        </w:rPr>
        <w:t>erp_guard_rpc</w:t>
      </w:r>
      <w:r>
        <w:t>),</w:t>
      </w:r>
    </w:p>
    <w:p>
      <w:r>
        <w:t xml:space="preserve">the </w:t>
      </w:r>
      <w:r>
        <w:rPr>
          <w:b/>
        </w:rPr>
        <w:t>actual</w:t>
      </w:r>
      <w:r>
        <w:t xml:space="preserve"> workflow RPCs (</w:t>
      </w:r>
      <w:r>
        <w:rPr>
          <w:rFonts w:ascii="Consolas" w:hAnsi="Consolas"/>
          <w:sz w:val="19"/>
        </w:rPr>
        <w:t>erp_submit_day_close</w:t>
      </w:r>
      <w:r>
        <w:t xml:space="preserve">, </w:t>
      </w:r>
      <w:r>
        <w:rPr>
          <w:rFonts w:ascii="Consolas" w:hAnsi="Consolas"/>
          <w:sz w:val="19"/>
        </w:rPr>
        <w:t>erp_decide_day_close_stage</w:t>
      </w:r>
      <w:r>
        <w:t>,</w:t>
      </w:r>
    </w:p>
    <w:p>
      <w:r>
        <w:rPr>
          <w:rFonts w:ascii="Consolas" w:hAnsi="Consolas"/>
          <w:sz w:val="19"/>
        </w:rPr>
        <w:t>erp_settle_day_cash</w:t>
      </w:r>
      <w:r>
        <w:t xml:space="preserve">, </w:t>
      </w:r>
      <w:r>
        <w:rPr>
          <w:rFonts w:ascii="Consolas" w:hAnsi="Consolas"/>
          <w:sz w:val="19"/>
        </w:rPr>
        <w:t>erp_reconcile_day_stock</w:t>
      </w:r>
      <w:r>
        <w:t xml:space="preserve">, </w:t>
      </w:r>
      <w:r>
        <w:rPr>
          <w:rFonts w:ascii="Consolas" w:hAnsi="Consolas"/>
          <w:sz w:val="19"/>
        </w:rPr>
        <w:t>erp_override_*</w:t>
      </w:r>
      <w:r>
        <w:t>,</w:t>
      </w:r>
    </w:p>
    <w:p>
      <w:r>
        <w:rPr>
          <w:rFonts w:ascii="Consolas" w:hAnsi="Consolas"/>
          <w:sz w:val="19"/>
        </w:rPr>
        <w:t>erp_decide_van_return</w:t>
      </w:r>
      <w:r>
        <w:t xml:space="preserve">), and </w:t>
      </w:r>
      <w:r>
        <w:rPr>
          <w:b/>
        </w:rPr>
        <w:t>RLS</w:t>
      </w:r>
      <w:r>
        <w:t>, while impersonating each of the 8 users via</w:t>
      </w:r>
    </w:p>
    <w:p>
      <w:r>
        <w:t>their real JWT (</w:t>
      </w:r>
      <w:r>
        <w:rPr>
          <w:rFonts w:ascii="Consolas" w:hAnsi="Consolas"/>
          <w:sz w:val="19"/>
        </w:rPr>
        <w:t>auth.uid()</w:t>
      </w:r>
      <w:r>
        <w:t xml:space="preserve"> resolved correctly for every step — 0 resolution</w:t>
      </w:r>
    </w:p>
    <w:p>
      <w:r>
        <w:t>failures). These are the same code paths the running app invokes.</w:t>
      </w:r>
    </w:p>
    <w:p>
      <w:pPr>
        <w:pStyle w:val="ListBullet"/>
      </w:pPr>
      <w:r>
        <w:rPr>
          <w:b/>
        </w:rPr>
        <w:t>Screenshots — not achievable here (documented limitation, pre-authorized):</w:t>
      </w:r>
      <w:r>
        <w:t xml:space="preserve"> the</w:t>
      </w:r>
    </w:p>
    <w:p>
      <w:r>
        <w:t xml:space="preserve">execution container has </w:t>
      </w:r>
      <w:r>
        <w:rPr>
          <w:b/>
        </w:rPr>
        <w:t>no outbound network egress</w:t>
      </w:r>
      <w:r>
        <w:t xml:space="preserve"> (every external request,</w:t>
      </w:r>
    </w:p>
    <w:p>
      <w:r>
        <w:t xml:space="preserve">including </w:t>
      </w:r>
      <w:r>
        <w:rPr>
          <w:rFonts w:ascii="Consolas" w:hAnsi="Consolas"/>
          <w:sz w:val="19"/>
        </w:rPr>
        <w:t>google.com</w:t>
      </w:r>
      <w:r>
        <w:t>, returns HTTP 403; MCP reaches the DB via a separate</w:t>
      </w:r>
    </w:p>
    <w:p>
      <w:r>
        <w:t>allowlisted gateway). The Vercel preview is additionally behind Deployment</w:t>
      </w:r>
    </w:p>
    <w:p>
      <w:r>
        <w:t>Protection (403). Authenticated browser capture was therefore impossible. The</w:t>
      </w:r>
    </w:p>
    <w:p>
      <w:r>
        <w:rPr>
          <w:b/>
        </w:rPr>
        <w:t>TS-layer visual behaviors</w:t>
      </w:r>
      <w:r>
        <w:t xml:space="preserve"> (sidebar rendering, in-browser direct-URL redirect,</w:t>
      </w:r>
    </w:p>
    <w:p>
      <w:r>
        <w:t xml:space="preserve">cash/credit *render* masking) are covered by (a) their proven permission </w:t>
      </w:r>
      <w:r>
        <w:rPr>
          <w:b/>
        </w:rPr>
        <w:t>inputs</w:t>
      </w:r>
    </w:p>
    <w:p>
      <w:r>
        <w:t>below and (b) the code-level Implementation Verification Audit; they should be</w:t>
      </w:r>
    </w:p>
    <w:p>
      <w:r>
        <w:t>visually confirmed by the pilot team using the seeded credentials (§1).</w:t>
      </w:r>
    </w:p>
    <w:p>
      <w:pPr>
        <w:pStyle w:val="ListBullet"/>
      </w:pPr>
      <w:r>
        <w:rPr>
          <w:b/>
        </w:rPr>
        <w:t>One methodology artifact, corrected:</w:t>
      </w:r>
      <w:r>
        <w:t xml:space="preserve"> </w:t>
      </w:r>
      <w:r>
        <w:rPr>
          <w:rFonts w:ascii="Consolas" w:hAnsi="Consolas"/>
          <w:sz w:val="19"/>
        </w:rPr>
        <w:t>erp_guard_rpc</w:t>
      </w:r>
      <w:r>
        <w:t xml:space="preserve"> sets a *transaction-local*</w:t>
      </w:r>
    </w:p>
    <w:p>
      <w:r>
        <w:t>re-entrancy flag (</w:t>
      </w:r>
      <w:r>
        <w:rPr>
          <w:rFonts w:ascii="Consolas" w:hAnsi="Consolas"/>
          <w:sz w:val="19"/>
        </w:rPr>
        <w:t>kako.rpc_guarded</w:t>
      </w:r>
      <w:r>
        <w:t>) and skips re-checking within the same</w:t>
      </w:r>
    </w:p>
    <w:p>
      <w:r>
        <w:t>transaction. The first workflow attempt ran all steps in one transaction, which</w:t>
      </w:r>
    </w:p>
    <w:p>
      <w:r>
        <w:t>wrongly "allowed" later denials. Re-run with the flag reset before each step</w:t>
      </w:r>
    </w:p>
    <w:p>
      <w:r>
        <w:t>(simulating independent requests = real-app behavior) → all guards fire correctly.</w:t>
      </w:r>
    </w:p>
    <w:p>
      <w:r>
        <w:t>(Audit rows from the first attempt, timestamped 09:42, remain in the demo tenant.)</w:t>
      </w:r>
    </w:p>
    <w:p>
      <w:pPr>
        <w:pStyle w:val="Heading2"/>
      </w:pPr>
      <w:r>
        <w:rPr>
          <w:color w:val="1F497D"/>
        </w:rPr>
        <w:t>1. Pilot tenant (provisioned on staging)</w:t>
      </w:r>
    </w:p>
    <w:p>
      <w:pPr>
        <w:pStyle w:val="ListBullet"/>
      </w:pPr>
      <w:r>
        <w:rPr>
          <w:b/>
        </w:rPr>
        <w:t>Company:</w:t>
      </w:r>
      <w:r>
        <w:t xml:space="preserve"> </w:t>
      </w:r>
      <w:r>
        <w:rPr>
          <w:rFonts w:ascii="Consolas" w:hAnsi="Consolas"/>
          <w:sz w:val="19"/>
        </w:rPr>
        <w:t>VANTORA Pilot FMCG (DEMO)</w:t>
      </w:r>
      <w:r>
        <w:t xml:space="preserve"> — </w:t>
      </w:r>
      <w:r>
        <w:rPr>
          <w:rFonts w:ascii="Consolas" w:hAnsi="Consolas"/>
          <w:sz w:val="19"/>
        </w:rPr>
        <w:t>612af0bd-973c-4fed-8e76-80cf444ef9e0</w:t>
      </w:r>
    </w:p>
    <w:p>
      <w:pPr>
        <w:pStyle w:val="ListBullet"/>
      </w:pPr>
      <w:r>
        <w:rPr>
          <w:b/>
        </w:rPr>
        <w:t>Master data:</w:t>
      </w:r>
      <w:r>
        <w:t xml:space="preserve"> 1 branch (PILOT) + main &amp; van warehouse; 8 FMCG products with</w:t>
      </w:r>
    </w:p>
    <w:p>
      <w:r>
        <w:t>stock; 11 customers with credit limits/balances.</w:t>
      </w:r>
    </w:p>
    <w:p>
      <w:pPr>
        <w:pStyle w:val="ListBullet"/>
      </w:pPr>
      <w:r>
        <w:rPr>
          <w:b/>
        </w:rPr>
        <w:t>8 role accounts</w:t>
      </w:r>
      <w:r>
        <w:t xml:space="preserve"> (password </w:t>
      </w:r>
      <w:r>
        <w:rPr>
          <w:rFonts w:ascii="Consolas" w:hAnsi="Consolas"/>
          <w:sz w:val="19"/>
        </w:rPr>
        <w:t>test.123</w:t>
      </w:r>
      <w:r>
        <w:t>):</w:t>
      </w:r>
    </w:p>
    <w:p>
      <w:r>
        <w:rPr>
          <w:rFonts w:ascii="Consolas" w:hAnsi="Consolas"/>
          <w:sz w:val="19"/>
        </w:rPr>
        <w:t>admin@pilot.test</w:t>
      </w:r>
      <w:r>
        <w:t xml:space="preserve">, </w:t>
      </w:r>
      <w:r>
        <w:rPr>
          <w:rFonts w:ascii="Consolas" w:hAnsi="Consolas"/>
          <w:sz w:val="19"/>
        </w:rPr>
        <w:t>branchmgr@pilot.test</w:t>
      </w:r>
      <w:r>
        <w:t xml:space="preserve">, </w:t>
      </w:r>
      <w:r>
        <w:rPr>
          <w:rFonts w:ascii="Consolas" w:hAnsi="Consolas"/>
          <w:sz w:val="19"/>
        </w:rPr>
        <w:t>supervisor@pilot.test</w:t>
      </w:r>
      <w:r>
        <w:t>,</w:t>
      </w:r>
    </w:p>
    <w:p>
      <w:r>
        <w:rPr>
          <w:rFonts w:ascii="Consolas" w:hAnsi="Consolas"/>
          <w:sz w:val="19"/>
        </w:rPr>
        <w:t>warehouse@pilot.test</w:t>
      </w:r>
      <w:r>
        <w:t xml:space="preserve">, </w:t>
      </w:r>
      <w:r>
        <w:rPr>
          <w:rFonts w:ascii="Consolas" w:hAnsi="Consolas"/>
          <w:sz w:val="19"/>
        </w:rPr>
        <w:t>cashier@pilot.test</w:t>
      </w:r>
      <w:r>
        <w:t xml:space="preserve">, </w:t>
      </w:r>
      <w:r>
        <w:rPr>
          <w:rFonts w:ascii="Consolas" w:hAnsi="Consolas"/>
          <w:sz w:val="19"/>
        </w:rPr>
        <w:t>accountant@pilot.test</w:t>
      </w:r>
      <w:r>
        <w:t>,</w:t>
      </w:r>
    </w:p>
    <w:p>
      <w:r>
        <w:rPr>
          <w:rFonts w:ascii="Consolas" w:hAnsi="Consolas"/>
          <w:sz w:val="19"/>
        </w:rPr>
        <w:t>salesman@pilot.test</w:t>
      </w:r>
      <w:r>
        <w:t xml:space="preserve">, </w:t>
      </w:r>
      <w:r>
        <w:rPr>
          <w:rFonts w:ascii="Consolas" w:hAnsi="Consolas"/>
          <w:sz w:val="19"/>
        </w:rPr>
        <w:t>auditor@pilot.test</w:t>
      </w:r>
      <w:r>
        <w:t>.</w:t>
      </w:r>
    </w:p>
    <w:p>
      <w:pPr>
        <w:pStyle w:val="ListBullet"/>
      </w:pPr>
      <w:r>
        <w:rPr>
          <w:b/>
        </w:rPr>
        <w:t>Capabilities ON:</w:t>
      </w:r>
      <w:r>
        <w:t xml:space="preserve"> </w:t>
      </w:r>
      <w:r>
        <w:rPr>
          <w:rFonts w:ascii="Consolas" w:hAnsi="Consolas"/>
          <w:sz w:val="19"/>
        </w:rPr>
        <w:t>return_approval</w:t>
      </w:r>
      <w:r>
        <w:t xml:space="preserve"> (+SLA), </w:t>
      </w:r>
      <w:r>
        <w:rPr>
          <w:rFonts w:ascii="Consolas" w:hAnsi="Consolas"/>
          <w:sz w:val="19"/>
        </w:rPr>
        <w:t>day_close_approval</w:t>
      </w:r>
      <w:r>
        <w:t xml:space="preserve"> (+SLA).</w:t>
      </w:r>
    </w:p>
    <w:p>
      <w:pPr>
        <w:pStyle w:val="ListBullet"/>
      </w:pPr>
      <w:r>
        <w:rPr>
          <w:b/>
        </w:rPr>
        <w:t>Policies:</w:t>
      </w:r>
      <w:r>
        <w:t xml:space="preserve"> Return = approval (primary Supervisor, backup Branch Manager; damage→BM,</w:t>
      </w:r>
    </w:p>
    <w:p>
      <w:r>
        <w:t>saleable ≤500→auto). Day-Close = Supervisor closes; Cash settlement (Cashier) and</w:t>
      </w:r>
    </w:p>
    <w:p>
      <w:r>
        <w:t xml:space="preserve">weekly Inventory reconciliation (Warehouse) </w:t>
      </w:r>
      <w:r>
        <w:rPr>
          <w:b/>
        </w:rPr>
        <w:t>independent, non-blocking</w:t>
      </w:r>
      <w:r>
        <w:t>,</w:t>
      </w:r>
    </w:p>
    <w:p>
      <w:r>
        <w:t>carry-forward ON.</w:t>
      </w:r>
    </w:p>
    <w:p>
      <w:pPr>
        <w:pStyle w:val="ListBullet"/>
      </w:pPr>
      <w:r>
        <w:rPr>
          <w:b/>
        </w:rPr>
        <w:t>Role permissions</w:t>
      </w:r>
      <w:r>
        <w:t xml:space="preserve"> were reset to </w:t>
      </w:r>
      <w:r>
        <w:rPr>
          <w:b/>
        </w:rPr>
        <w:t>exactly the documented matrix</w:t>
      </w:r>
      <w:r>
        <w:t xml:space="preserve"> for all 8 roles</w:t>
      </w:r>
    </w:p>
    <w:p>
      <w:r>
        <w:t>(company-scoped), so the run validates the documented matrix — not an ad-hoc seed.</w:t>
      </w:r>
    </w:p>
    <w:p>
      <w:pPr>
        <w:pStyle w:val="Heading2"/>
      </w:pPr>
      <w:r>
        <w:rPr>
          <w:color w:val="1F497D"/>
        </w:rPr>
        <w:t>2. Pass/Fail matrix — 8 roles × 9 focus areas</w:t>
      </w:r>
    </w:p>
    <w:p>
      <w:r>
        <w:t xml:space="preserve">Legend: </w:t>
      </w:r>
      <w:r>
        <w:rPr>
          <w:b/>
        </w:rPr>
        <w:t>P</w:t>
      </w:r>
      <w:r>
        <w:t xml:space="preserve"> = pass (runtime-verified) · </w:t>
      </w:r>
      <w:r>
        <w:rPr>
          <w:b/>
        </w:rPr>
        <w:t>P\</w:t>
      </w:r>
      <w:r>
        <w:t>* = pass via proven permission input</w:t>
      </w:r>
    </w:p>
    <w:p>
      <w:r>
        <w:t xml:space="preserve">(visual render not screenshot-verifiable — egress blocked) · </w:t>
      </w:r>
      <w:r>
        <w:rPr>
          <w:b/>
        </w:rPr>
        <w:t>n/a</w:t>
      </w:r>
      <w:r>
        <w:t xml:space="preserve"> = not applicable.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Focus area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Sales­man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Super­visor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Ware­house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Cash­ier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Account­ant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Auditor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Branch Mgr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Admin</w:t>
            </w:r>
          </w:p>
        </w:tc>
      </w:tr>
      <w:tr>
        <w:tc>
          <w:tcPr>
            <w:tcW w:type="dxa" w:w="960"/>
          </w:tcPr>
          <w:p>
            <w:r>
              <w:t>1. Role visibility (perm resolution)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2. Direct-URL protection¹</w:t>
            </w:r>
          </w:p>
        </w:tc>
        <w:tc>
          <w:tcPr>
            <w:tcW w:type="dxa" w:w="960"/>
          </w:tcPr>
          <w:p>
            <w:r>
              <w:t>P*</w:t>
            </w:r>
          </w:p>
        </w:tc>
        <w:tc>
          <w:tcPr>
            <w:tcW w:type="dxa" w:w="960"/>
          </w:tcPr>
          <w:p>
            <w:r>
              <w:t>P*</w:t>
            </w:r>
          </w:p>
        </w:tc>
        <w:tc>
          <w:tcPr>
            <w:tcW w:type="dxa" w:w="960"/>
          </w:tcPr>
          <w:p>
            <w:r>
              <w:t>P*</w:t>
            </w:r>
          </w:p>
        </w:tc>
        <w:tc>
          <w:tcPr>
            <w:tcW w:type="dxa" w:w="960"/>
          </w:tcPr>
          <w:p>
            <w:r>
              <w:t>P*</w:t>
            </w:r>
          </w:p>
        </w:tc>
        <w:tc>
          <w:tcPr>
            <w:tcW w:type="dxa" w:w="960"/>
          </w:tcPr>
          <w:p>
            <w:r>
              <w:t>P*</w:t>
            </w:r>
          </w:p>
        </w:tc>
        <w:tc>
          <w:tcPr>
            <w:tcW w:type="dxa" w:w="960"/>
          </w:tcPr>
          <w:p>
            <w:r>
              <w:t>P*</w:t>
            </w:r>
          </w:p>
        </w:tc>
        <w:tc>
          <w:tcPr>
            <w:tcW w:type="dxa" w:w="960"/>
          </w:tcPr>
          <w:p>
            <w:r>
              <w:t>P*</w:t>
            </w:r>
          </w:p>
        </w:tc>
        <w:tc>
          <w:tcPr>
            <w:tcW w:type="dxa" w:w="960"/>
          </w:tcPr>
          <w:p>
            <w:r>
              <w:t>P*</w:t>
            </w:r>
          </w:p>
        </w:tc>
      </w:tr>
      <w:tr>
        <w:tc>
          <w:tcPr>
            <w:tcW w:type="dxa" w:w="960"/>
          </w:tcPr>
          <w:p>
            <w:r>
              <w:t>3. Cash masking (</w:t>
            </w:r>
            <w:r>
              <w:rPr>
                <w:rFonts w:ascii="Consolas" w:hAnsi="Consolas"/>
                <w:sz w:val="19"/>
              </w:rPr>
              <w:t>cash.view_outstanding</w:t>
            </w:r>
            <w:r>
              <w:t>)</w:t>
            </w:r>
          </w:p>
        </w:tc>
        <w:tc>
          <w:tcPr>
            <w:tcW w:type="dxa" w:w="960"/>
          </w:tcPr>
          <w:p>
            <w:r>
              <w:t>P (hidden)</w:t>
            </w:r>
          </w:p>
        </w:tc>
        <w:tc>
          <w:tcPr>
            <w:tcW w:type="dxa" w:w="960"/>
          </w:tcPr>
          <w:p>
            <w:r>
              <w:t>P (shown)</w:t>
            </w:r>
          </w:p>
        </w:tc>
        <w:tc>
          <w:tcPr>
            <w:tcW w:type="dxa" w:w="960"/>
          </w:tcPr>
          <w:p>
            <w:r>
              <w:t>P (hidden)</w:t>
            </w:r>
          </w:p>
        </w:tc>
        <w:tc>
          <w:tcPr>
            <w:tcW w:type="dxa" w:w="960"/>
          </w:tcPr>
          <w:p>
            <w:r>
              <w:t>P (shown)</w:t>
            </w:r>
          </w:p>
        </w:tc>
        <w:tc>
          <w:tcPr>
            <w:tcW w:type="dxa" w:w="960"/>
          </w:tcPr>
          <w:p>
            <w:r>
              <w:t>P (shown)</w:t>
            </w:r>
          </w:p>
        </w:tc>
        <w:tc>
          <w:tcPr>
            <w:tcW w:type="dxa" w:w="960"/>
          </w:tcPr>
          <w:p>
            <w:r>
              <w:t>P (shown)</w:t>
            </w:r>
          </w:p>
        </w:tc>
        <w:tc>
          <w:tcPr>
            <w:tcW w:type="dxa" w:w="960"/>
          </w:tcPr>
          <w:p>
            <w:r>
              <w:t>P (shown)</w:t>
            </w:r>
          </w:p>
        </w:tc>
        <w:tc>
          <w:tcPr>
            <w:tcW w:type="dxa" w:w="960"/>
          </w:tcPr>
          <w:p>
            <w:r>
              <w:t>P (shown)</w:t>
            </w:r>
          </w:p>
        </w:tc>
      </w:tr>
      <w:tr>
        <w:tc>
          <w:tcPr>
            <w:tcW w:type="dxa" w:w="960"/>
          </w:tcPr>
          <w:p>
            <w:r>
              <w:t>4. Credit-limit visibility (</w:t>
            </w:r>
            <w:r>
              <w:rPr>
                <w:rFonts w:ascii="Consolas" w:hAnsi="Consolas"/>
                <w:sz w:val="19"/>
              </w:rPr>
              <w:t>customers.view_credit</w:t>
            </w:r>
            <w:r>
              <w:t>)</w:t>
            </w:r>
          </w:p>
        </w:tc>
        <w:tc>
          <w:tcPr>
            <w:tcW w:type="dxa" w:w="960"/>
          </w:tcPr>
          <w:p>
            <w:r>
              <w:t>P (hidden)</w:t>
            </w:r>
          </w:p>
        </w:tc>
        <w:tc>
          <w:tcPr>
            <w:tcW w:type="dxa" w:w="960"/>
          </w:tcPr>
          <w:p>
            <w:r>
              <w:t>P (shown)</w:t>
            </w:r>
          </w:p>
        </w:tc>
        <w:tc>
          <w:tcPr>
            <w:tcW w:type="dxa" w:w="960"/>
          </w:tcPr>
          <w:p>
            <w:r>
              <w:t>P (hidden)</w:t>
            </w:r>
          </w:p>
        </w:tc>
        <w:tc>
          <w:tcPr>
            <w:tcW w:type="dxa" w:w="960"/>
          </w:tcPr>
          <w:p>
            <w:r>
              <w:t>P (hidden)</w:t>
            </w:r>
          </w:p>
        </w:tc>
        <w:tc>
          <w:tcPr>
            <w:tcW w:type="dxa" w:w="960"/>
          </w:tcPr>
          <w:p>
            <w:r>
              <w:t>P (shown)</w:t>
            </w:r>
          </w:p>
        </w:tc>
        <w:tc>
          <w:tcPr>
            <w:tcW w:type="dxa" w:w="960"/>
          </w:tcPr>
          <w:p>
            <w:r>
              <w:t>P (shown)</w:t>
            </w:r>
          </w:p>
        </w:tc>
        <w:tc>
          <w:tcPr>
            <w:tcW w:type="dxa" w:w="960"/>
          </w:tcPr>
          <w:p>
            <w:r>
              <w:t>P (shown)</w:t>
            </w:r>
          </w:p>
        </w:tc>
        <w:tc>
          <w:tcPr>
            <w:tcW w:type="dxa" w:w="960"/>
          </w:tcPr>
          <w:p>
            <w:r>
              <w:t>P (shown)</w:t>
            </w:r>
          </w:p>
        </w:tc>
      </w:tr>
      <w:tr>
        <w:tc>
          <w:tcPr>
            <w:tcW w:type="dxa" w:w="960"/>
          </w:tcPr>
          <w:p>
            <w:r>
              <w:t>5. Return approvals</w:t>
            </w:r>
          </w:p>
        </w:tc>
        <w:tc>
          <w:tcPr>
            <w:tcW w:type="dxa" w:w="960"/>
          </w:tcPr>
          <w:p>
            <w:r>
              <w:t>P (create only)</w:t>
            </w:r>
          </w:p>
        </w:tc>
        <w:tc>
          <w:tcPr>
            <w:tcW w:type="dxa" w:w="960"/>
          </w:tcPr>
          <w:p>
            <w:r>
              <w:t>P (approve)</w:t>
            </w:r>
          </w:p>
        </w:tc>
        <w:tc>
          <w:tcPr>
            <w:tcW w:type="dxa" w:w="960"/>
          </w:tcPr>
          <w:p>
            <w:r>
              <w:t>P (denied)</w:t>
            </w:r>
          </w:p>
        </w:tc>
        <w:tc>
          <w:tcPr>
            <w:tcW w:type="dxa" w:w="960"/>
          </w:tcPr>
          <w:p>
            <w:r>
              <w:t>P (denied)</w:t>
            </w:r>
          </w:p>
        </w:tc>
        <w:tc>
          <w:tcPr>
            <w:tcW w:type="dxa" w:w="960"/>
          </w:tcPr>
          <w:p>
            <w:r>
              <w:t>P (view)</w:t>
            </w:r>
          </w:p>
        </w:tc>
        <w:tc>
          <w:tcPr>
            <w:tcW w:type="dxa" w:w="960"/>
          </w:tcPr>
          <w:p>
            <w:r>
              <w:t>P (denied)</w:t>
            </w:r>
          </w:p>
        </w:tc>
        <w:tc>
          <w:tcPr>
            <w:tcW w:type="dxa" w:w="960"/>
          </w:tcPr>
          <w:p>
            <w:r>
              <w:t>P (approve)</w:t>
            </w:r>
          </w:p>
        </w:tc>
        <w:tc>
          <w:tcPr>
            <w:tcW w:type="dxa" w:w="960"/>
          </w:tcPr>
          <w:p>
            <w:r>
              <w:t>P (override)</w:t>
            </w:r>
          </w:p>
        </w:tc>
      </w:tr>
      <w:tr>
        <w:tc>
          <w:tcPr>
            <w:tcW w:type="dxa" w:w="960"/>
          </w:tcPr>
          <w:p>
            <w:r>
              <w:t>6. Day-close workflow</w:t>
            </w:r>
          </w:p>
        </w:tc>
        <w:tc>
          <w:tcPr>
            <w:tcW w:type="dxa" w:w="960"/>
          </w:tcPr>
          <w:p>
            <w:r>
              <w:t>P (submit)</w:t>
            </w:r>
          </w:p>
        </w:tc>
        <w:tc>
          <w:tcPr>
            <w:tcW w:type="dxa" w:w="960"/>
          </w:tcPr>
          <w:p>
            <w:r>
              <w:t>P (close)</w:t>
            </w:r>
          </w:p>
        </w:tc>
        <w:tc>
          <w:tcPr>
            <w:tcW w:type="dxa" w:w="960"/>
          </w:tcPr>
          <w:p>
            <w:r>
              <w:t>P (denied decide)</w:t>
            </w:r>
          </w:p>
        </w:tc>
        <w:tc>
          <w:tcPr>
            <w:tcW w:type="dxa" w:w="960"/>
          </w:tcPr>
          <w:p>
            <w:r>
              <w:t>P (denied decide)</w:t>
            </w:r>
          </w:p>
        </w:tc>
        <w:tc>
          <w:tcPr>
            <w:tcW w:type="dxa" w:w="960"/>
          </w:tcPr>
          <w:p>
            <w:r>
              <w:t>P (denied)</w:t>
            </w:r>
          </w:p>
        </w:tc>
        <w:tc>
          <w:tcPr>
            <w:tcW w:type="dxa" w:w="960"/>
          </w:tcPr>
          <w:p>
            <w:r>
              <w:t>P (denied)</w:t>
            </w:r>
          </w:p>
        </w:tc>
        <w:tc>
          <w:tcPr>
            <w:tcW w:type="dxa" w:w="960"/>
          </w:tcPr>
          <w:p>
            <w:r>
              <w:t>P (close)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7. Settlement workflow</w:t>
            </w:r>
          </w:p>
        </w:tc>
        <w:tc>
          <w:tcPr>
            <w:tcW w:type="dxa" w:w="960"/>
          </w:tcPr>
          <w:p>
            <w:r>
              <w:t>P (n/a)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 (denied)</w:t>
            </w:r>
          </w:p>
        </w:tc>
        <w:tc>
          <w:tcPr>
            <w:tcW w:type="dxa" w:w="960"/>
          </w:tcPr>
          <w:p>
            <w:r>
              <w:t>P (settle)</w:t>
            </w:r>
          </w:p>
        </w:tc>
        <w:tc>
          <w:tcPr>
            <w:tcW w:type="dxa" w:w="960"/>
          </w:tcPr>
          <w:p>
            <w:r>
              <w:t>P (settle)</w:t>
            </w:r>
          </w:p>
        </w:tc>
        <w:tc>
          <w:tcPr>
            <w:tcW w:type="dxa" w:w="960"/>
          </w:tcPr>
          <w:p>
            <w:r>
              <w:t>P (denied)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8. Inventory reconciliation</w:t>
            </w:r>
          </w:p>
        </w:tc>
        <w:tc>
          <w:tcPr>
            <w:tcW w:type="dxa" w:w="960"/>
          </w:tcPr>
          <w:p>
            <w:r>
              <w:t>P (n/a)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 (reconcile)</w:t>
            </w:r>
          </w:p>
        </w:tc>
        <w:tc>
          <w:tcPr>
            <w:tcW w:type="dxa" w:w="960"/>
          </w:tcPr>
          <w:p>
            <w:r>
              <w:t>P (denied)</w:t>
            </w:r>
          </w:p>
        </w:tc>
        <w:tc>
          <w:tcPr>
            <w:tcW w:type="dxa" w:w="960"/>
          </w:tcPr>
          <w:p>
            <w:r>
              <w:t>P (denied)</w:t>
            </w:r>
          </w:p>
        </w:tc>
        <w:tc>
          <w:tcPr>
            <w:tcW w:type="dxa" w:w="960"/>
          </w:tcPr>
          <w:p>
            <w:r>
              <w:t>P (denied)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9. Audit-trail completeness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</w:tbl>
    <w:p/>
    <w:p>
      <w:r>
        <w:t xml:space="preserve">¹ Direct-URL page guards were verified at the </w:t>
      </w:r>
      <w:r>
        <w:rPr>
          <w:b/>
        </w:rPr>
        <w:t>code</w:t>
      </w:r>
      <w:r>
        <w:t xml:space="preserve"> layer for all 26 FMCG routes in</w:t>
      </w:r>
    </w:p>
    <w:p>
      <w:r>
        <w:t>the Implementation Verification Audit; their permission inputs are runtime-proven here.</w:t>
      </w:r>
    </w:p>
    <w:p>
      <w:r>
        <w:t>In-browser redirect capture is blocked by egress.</w:t>
      </w:r>
    </w:p>
    <w:p>
      <w:r>
        <w:rPr>
          <w:b/>
        </w:rPr>
        <w:t>Totals:</w:t>
      </w:r>
      <w:r>
        <w:t xml:space="preserve"> authorization &amp; workflow runtime checks </w:t>
      </w:r>
      <w:r>
        <w:rPr>
          <w:b/>
        </w:rPr>
        <w:t>122/122 PASS</w:t>
      </w:r>
    </w:p>
    <w:p>
      <w:r>
        <w:t>(112 permission-matrix + 10 workflow), RLS isolation PASS, audit-trail PASS.</w:t>
      </w:r>
    </w:p>
    <w:p>
      <w:pPr>
        <w:pStyle w:val="Heading2"/>
      </w:pPr>
      <w:r>
        <w:rPr>
          <w:color w:val="1F497D"/>
        </w:rPr>
        <w:t>3. Runtime evidence</w:t>
      </w:r>
    </w:p>
    <w:p>
      <w:pPr>
        <w:pStyle w:val="Heading3"/>
      </w:pPr>
      <w:r>
        <w:t>3.1 Authorization resolution — 112/112 PASS (8 roles × 14 permissions, 0 uid failures)</w:t>
      </w:r>
    </w:p>
    <w:p>
      <w:r>
        <w:t xml:space="preserve">Each row executed as the role's real user through </w:t>
      </w:r>
      <w:r>
        <w:rPr>
          <w:rFonts w:ascii="Consolas" w:hAnsi="Consolas"/>
          <w:sz w:val="19"/>
        </w:rPr>
        <w:t>erp_user_has_perm</w:t>
      </w:r>
      <w:r>
        <w:t>. Per-role holdings</w:t>
      </w:r>
    </w:p>
    <w:p>
      <w:r>
        <w:t>of the focus permissions (✓ = granted at runtime, matches documented matrix exactly):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720"/>
            <w:shd w:val="clear" w:fill="1F497D"/>
          </w:tcPr>
          <w:p>
            <w:r>
              <w:rPr>
                <w:b/>
                <w:color w:val="FFFFFF"/>
              </w:rPr>
              <w:t>cash.view_out</w:t>
            </w:r>
          </w:p>
        </w:tc>
        <w:tc>
          <w:tcPr>
            <w:tcW w:type="dxa" w:w="720"/>
            <w:shd w:val="clear" w:fill="1F497D"/>
          </w:tcPr>
          <w:p>
            <w:r>
              <w:rPr>
                <w:b/>
                <w:color w:val="FFFFFF"/>
              </w:rPr>
              <w:t>view_credit</w:t>
            </w:r>
          </w:p>
        </w:tc>
        <w:tc>
          <w:tcPr>
            <w:tcW w:type="dxa" w:w="720"/>
            <w:shd w:val="clear" w:fill="1F497D"/>
          </w:tcPr>
          <w:p>
            <w:r>
              <w:rPr>
                <w:b/>
                <w:color w:val="FFFFFF"/>
              </w:rPr>
              <w:t>returns.approve</w:t>
            </w:r>
          </w:p>
        </w:tc>
        <w:tc>
          <w:tcPr>
            <w:tcW w:type="dxa" w:w="720"/>
            <w:shd w:val="clear" w:fill="1F497D"/>
          </w:tcPr>
          <w:p>
            <w:r>
              <w:rPr>
                <w:b/>
                <w:color w:val="FFFFFF"/>
              </w:rPr>
              <w:t>dc.submit</w:t>
            </w:r>
          </w:p>
        </w:tc>
        <w:tc>
          <w:tcPr>
            <w:tcW w:type="dxa" w:w="720"/>
            <w:shd w:val="clear" w:fill="1F497D"/>
          </w:tcPr>
          <w:p>
            <w:r>
              <w:rPr>
                <w:b/>
                <w:color w:val="FFFFFF"/>
              </w:rPr>
              <w:t>dc.supervisor</w:t>
            </w:r>
          </w:p>
        </w:tc>
        <w:tc>
          <w:tcPr>
            <w:tcW w:type="dxa" w:w="720"/>
            <w:shd w:val="clear" w:fill="1F497D"/>
          </w:tcPr>
          <w:p>
            <w:r>
              <w:rPr>
                <w:b/>
                <w:color w:val="FFFFFF"/>
              </w:rPr>
              <w:t>dc.reconcile</w:t>
            </w:r>
          </w:p>
        </w:tc>
        <w:tc>
          <w:tcPr>
            <w:tcW w:type="dxa" w:w="720"/>
            <w:shd w:val="clear" w:fill="1F497D"/>
          </w:tcPr>
          <w:p>
            <w:r>
              <w:rPr>
                <w:b/>
                <w:color w:val="FFFFFF"/>
              </w:rPr>
              <w:t>dc.settle</w:t>
            </w:r>
          </w:p>
        </w:tc>
        <w:tc>
          <w:tcPr>
            <w:tcW w:type="dxa" w:w="720"/>
            <w:shd w:val="clear" w:fill="1F497D"/>
          </w:tcPr>
          <w:p>
            <w:r>
              <w:rPr>
                <w:b/>
                <w:color w:val="FFFFFF"/>
              </w:rPr>
              <w:t>returns.override</w:t>
            </w:r>
          </w:p>
        </w:tc>
        <w:tc>
          <w:tcPr>
            <w:tcW w:type="dxa" w:w="720"/>
            <w:shd w:val="clear" w:fill="1F497D"/>
          </w:tcPr>
          <w:p>
            <w:r>
              <w:rPr>
                <w:b/>
                <w:color w:val="FFFFFF"/>
              </w:rPr>
              <w:t>day.reopen</w:t>
            </w:r>
          </w:p>
        </w:tc>
        <w:tc>
          <w:tcPr>
            <w:tcW w:type="dxa" w:w="720"/>
            <w:shd w:val="clear" w:fill="1F497D"/>
          </w:tcPr>
          <w:p>
            <w:r>
              <w:rPr>
                <w:b/>
                <w:color w:val="FFFFFF"/>
              </w:rPr>
              <w:t>audit.view</w:t>
            </w:r>
          </w:p>
        </w:tc>
        <w:tc>
          <w:tcPr>
            <w:tcW w:type="dxa" w:w="720"/>
            <w:shd w:val="clear" w:fill="1F497D"/>
          </w:tcPr>
          <w:p>
            <w:r>
              <w:rPr>
                <w:b/>
                <w:color w:val="FFFFFF"/>
              </w:rPr>
              <w:t>field.sales</w:t>
            </w:r>
          </w:p>
        </w:tc>
      </w:tr>
      <w:tr>
        <w:tc>
          <w:tcPr>
            <w:tcW w:type="dxa" w:w="720"/>
          </w:tcPr>
          <w:p>
            <w:r>
              <w:t>salesman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✓</w:t>
            </w:r>
          </w:p>
        </w:tc>
      </w:tr>
      <w:tr>
        <w:tc>
          <w:tcPr>
            <w:tcW w:type="dxa" w:w="720"/>
          </w:tcPr>
          <w:p>
            <w:r>
              <w:t>supervisor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</w:tr>
      <w:tr>
        <w:tc>
          <w:tcPr>
            <w:tcW w:type="dxa" w:w="720"/>
          </w:tcPr>
          <w:p>
            <w:r>
              <w:t>warehouse_keeper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</w:tr>
      <w:tr>
        <w:tc>
          <w:tcPr>
            <w:tcW w:type="dxa" w:w="720"/>
          </w:tcPr>
          <w:p>
            <w:r>
              <w:t>cashier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</w:tr>
      <w:tr>
        <w:tc>
          <w:tcPr>
            <w:tcW w:type="dxa" w:w="720"/>
          </w:tcPr>
          <w:p>
            <w:r>
              <w:t>accountant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</w:tr>
      <w:tr>
        <w:tc>
          <w:tcPr>
            <w:tcW w:type="dxa" w:w="720"/>
          </w:tcPr>
          <w:p>
            <w:r>
              <w:t>auditor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·</w:t>
            </w:r>
          </w:p>
        </w:tc>
      </w:tr>
      <w:tr>
        <w:tc>
          <w:tcPr>
            <w:tcW w:type="dxa" w:w="720"/>
          </w:tcPr>
          <w:p>
            <w:r>
              <w:t>branch_manager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  <w:tc>
          <w:tcPr>
            <w:tcW w:type="dxa" w:w="720"/>
          </w:tcPr>
          <w:p>
            <w:r>
              <w:t>·</w:t>
            </w:r>
          </w:p>
        </w:tc>
      </w:tr>
      <w:tr>
        <w:tc>
          <w:tcPr>
            <w:tcW w:type="dxa" w:w="720"/>
          </w:tcPr>
          <w:p>
            <w:r>
              <w:t>admin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  <w:tc>
          <w:tcPr>
            <w:tcW w:type="dxa" w:w="720"/>
          </w:tcPr>
          <w:p>
            <w:r>
              <w:t>✓</w:t>
            </w:r>
          </w:p>
        </w:tc>
      </w:tr>
    </w:tbl>
    <w:p/>
    <w:p>
      <w:r>
        <w:t xml:space="preserve">Key confirmations: </w:t>
      </w:r>
      <w:r>
        <w:rPr>
          <w:b/>
        </w:rPr>
        <w:t>cash hidden</w:t>
      </w:r>
      <w:r>
        <w:t xml:space="preserve"> from salesman+warehouse; </w:t>
      </w:r>
      <w:r>
        <w:rPr>
          <w:b/>
        </w:rPr>
        <w:t>credit hidden</w:t>
      </w:r>
      <w:r>
        <w:t xml:space="preserve"> from</w:t>
      </w:r>
    </w:p>
    <w:p>
      <w:r>
        <w:t xml:space="preserve">salesman+cashier+warehouse; </w:t>
      </w:r>
      <w:r>
        <w:rPr>
          <w:b/>
        </w:rPr>
        <w:t>override/reopen admin-only</w:t>
      </w:r>
      <w:r>
        <w:t xml:space="preserve"> (Supervisor &amp; BM denied);</w:t>
      </w:r>
    </w:p>
    <w:p>
      <w:r>
        <w:rPr>
          <w:b/>
        </w:rPr>
        <w:t>audit.view auditor-only</w:t>
      </w:r>
      <w:r>
        <w:t>; day-close stages correctly segregated.</w:t>
      </w:r>
    </w:p>
    <w:p>
      <w:pPr>
        <w:pStyle w:val="Heading3"/>
      </w:pPr>
      <w:r>
        <w:t>3.2 Day-close → settlement → reconciliation workflow — 10/10 PASS</w:t>
      </w:r>
    </w:p>
    <w:p>
      <w:r>
        <w:t>Each step executed as the proper role (independent-request semantics):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Runtime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salesman</w:t>
            </w:r>
          </w:p>
        </w:tc>
        <w:tc>
          <w:tcPr>
            <w:tcW w:type="dxa" w:w="2160"/>
          </w:tcPr>
          <w:p>
            <w:r>
              <w:t>submit End Day</w:t>
            </w:r>
          </w:p>
        </w:tc>
        <w:tc>
          <w:tcPr>
            <w:tcW w:type="dxa" w:w="2160"/>
          </w:tcPr>
          <w:p>
            <w:r>
              <w:t xml:space="preserve">→ </w:t>
            </w:r>
            <w:r>
              <w:rPr>
                <w:rFonts w:ascii="Consolas" w:hAnsi="Consolas"/>
                <w:sz w:val="19"/>
              </w:rPr>
              <w:t>pending_supervisor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salesman</w:t>
            </w:r>
          </w:p>
        </w:tc>
        <w:tc>
          <w:tcPr>
            <w:tcW w:type="dxa" w:w="2160"/>
          </w:tcPr>
          <w:p>
            <w:r>
              <w:t>approve supervisor 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denied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permission_denied: requires day.close.supervisor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approve supervisor stage</w:t>
            </w:r>
          </w:p>
        </w:tc>
        <w:tc>
          <w:tcPr>
            <w:tcW w:type="dxa" w:w="2160"/>
          </w:tcPr>
          <w:p>
            <w:r>
              <w:t xml:space="preserve">→ </w:t>
            </w:r>
            <w:r>
              <w:rPr>
                <w:b/>
              </w:rPr>
              <w:t>`status=closed, settlement=pending, reconcile=pending`</w:t>
            </w:r>
            <w:r>
              <w:t xml:space="preserve"> (operational close; settle/recon independent &amp; non-blocking)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warehouse</w:t>
            </w:r>
          </w:p>
        </w:tc>
        <w:tc>
          <w:tcPr>
            <w:tcW w:type="dxa" w:w="2160"/>
          </w:tcPr>
          <w:p>
            <w:r>
              <w:t>settle cash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denied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requires day.close.settle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warehouse</w:t>
            </w:r>
          </w:p>
        </w:tc>
        <w:tc>
          <w:tcPr>
            <w:tcW w:type="dxa" w:w="2160"/>
          </w:tcPr>
          <w:p>
            <w:r>
              <w:t>reconcile stock</w:t>
            </w:r>
          </w:p>
        </w:tc>
        <w:tc>
          <w:tcPr>
            <w:tcW w:type="dxa" w:w="2160"/>
          </w:tcPr>
          <w:p>
            <w:r>
              <w:t xml:space="preserve">→ </w:t>
            </w:r>
            <w:r>
              <w:rPr>
                <w:rFonts w:ascii="Consolas" w:hAnsi="Consolas"/>
                <w:sz w:val="19"/>
              </w:rPr>
              <w:t>reconcile=reconciled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cashier</w:t>
            </w:r>
          </w:p>
        </w:tc>
        <w:tc>
          <w:tcPr>
            <w:tcW w:type="dxa" w:w="2160"/>
          </w:tcPr>
          <w:p>
            <w:r>
              <w:t>reconcile stock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denied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requires day.close.reconcile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cashier</w:t>
            </w:r>
          </w:p>
        </w:tc>
        <w:tc>
          <w:tcPr>
            <w:tcW w:type="dxa" w:w="2160"/>
          </w:tcPr>
          <w:p>
            <w:r>
              <w:t>settle cash (partial)</w:t>
            </w:r>
          </w:p>
        </w:tc>
        <w:tc>
          <w:tcPr>
            <w:tcW w:type="dxa" w:w="2160"/>
          </w:tcPr>
          <w:p>
            <w:r>
              <w:t xml:space="preserve">→ </w:t>
            </w:r>
            <w:r>
              <w:rPr>
                <w:rFonts w:ascii="Consolas" w:hAnsi="Consolas"/>
                <w:sz w:val="19"/>
              </w:rPr>
              <w:t>settlement=pending, **outstanding_cash=79.80**</w:t>
            </w:r>
            <w:r>
              <w:t xml:space="preserve"> (real carry-forward)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override return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denied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requires returns.override</w:t>
            </w:r>
            <w:r>
              <w:t xml:space="preserve"> (admin-only)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auditor</w:t>
            </w:r>
          </w:p>
        </w:tc>
        <w:tc>
          <w:tcPr>
            <w:tcW w:type="dxa" w:w="2160"/>
          </w:tcPr>
          <w:p>
            <w:r>
              <w:t>override day-close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denied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requires day.close.override</w:t>
            </w:r>
            <w:r>
              <w:t xml:space="preserve"> (read-only)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override day-close</w:t>
            </w:r>
          </w:p>
        </w:tc>
        <w:tc>
          <w:tcPr>
            <w:tcW w:type="dxa" w:w="2160"/>
          </w:tcPr>
          <w:p>
            <w:r>
              <w:t xml:space="preserve">guard </w:t>
            </w:r>
            <w:r>
              <w:rPr>
                <w:b/>
              </w:rPr>
              <w:t>passed</w:t>
            </w:r>
            <w:r>
              <w:t xml:space="preserve"> (rejected only on business state)</w:t>
            </w:r>
          </w:p>
        </w:tc>
      </w:tr>
    </w:tbl>
    <w:p/>
    <w:p>
      <w:pPr>
        <w:pStyle w:val="Heading3"/>
      </w:pPr>
      <w:r>
        <w:t>3.3 Settlement carry-forward</w:t>
      </w:r>
    </w:p>
    <w:p>
      <w:r>
        <w:t xml:space="preserve">Cashier settled below expected → </w:t>
      </w:r>
      <w:r>
        <w:rPr>
          <w:rFonts w:ascii="Consolas" w:hAnsi="Consolas"/>
          <w:sz w:val="19"/>
        </w:rPr>
        <w:t>outstanding_cash = 79.80</w:t>
      </w:r>
      <w:r>
        <w:t xml:space="preserve"> recorded on the request →</w:t>
      </w:r>
    </w:p>
    <w:p>
      <w:r>
        <w:t>carries forward as the salesman's Cash-in-Custody (matches the documented model).</w:t>
      </w:r>
    </w:p>
    <w:p>
      <w:pPr>
        <w:pStyle w:val="Heading3"/>
      </w:pPr>
      <w:r>
        <w:t>3.4 Audit trail — complete &amp; actor-attributed (clean run, 09:44)</w:t>
      </w:r>
    </w:p>
    <w:p>
      <w:r>
        <w:rPr>
          <w:rFonts w:ascii="Consolas" w:hAnsi="Consolas"/>
          <w:sz w:val="19"/>
        </w:rPr>
        <w:t>day_close.submit</w:t>
      </w:r>
      <w:r>
        <w:t xml:space="preserve"> (salesman@) → </w:t>
      </w:r>
      <w:r>
        <w:rPr>
          <w:rFonts w:ascii="Consolas" w:hAnsi="Consolas"/>
          <w:sz w:val="19"/>
        </w:rPr>
        <w:t>day_close.supervisor.approve</w:t>
      </w:r>
      <w:r>
        <w:t xml:space="preserve"> (supervisor@) →</w:t>
      </w:r>
    </w:p>
    <w:p>
      <w:r>
        <w:rPr>
          <w:rFonts w:ascii="Consolas" w:hAnsi="Consolas"/>
          <w:sz w:val="19"/>
        </w:rPr>
        <w:t>day_close.closed</w:t>
      </w:r>
      <w:r>
        <w:t xml:space="preserve"> (supervisor@) → </w:t>
      </w:r>
      <w:r>
        <w:rPr>
          <w:rFonts w:ascii="Consolas" w:hAnsi="Consolas"/>
          <w:sz w:val="19"/>
        </w:rPr>
        <w:t>day_close.reconcile</w:t>
      </w:r>
      <w:r>
        <w:t xml:space="preserve"> (warehouse@) →</w:t>
      </w:r>
    </w:p>
    <w:p>
      <w:r>
        <w:rPr>
          <w:rFonts w:ascii="Consolas" w:hAnsi="Consolas"/>
          <w:sz w:val="19"/>
        </w:rPr>
        <w:t>day_close.settle</w:t>
      </w:r>
      <w:r>
        <w:t xml:space="preserve"> (cashier@). Every governed action recorded with the acting user.</w:t>
      </w:r>
    </w:p>
    <w:p>
      <w:pPr>
        <w:pStyle w:val="Heading3"/>
      </w:pPr>
      <w:r>
        <w:t>3.5 RLS tenant isolation — PASS</w:t>
      </w:r>
    </w:p>
    <w:p>
      <w:r>
        <w:t xml:space="preserve">As the authenticated salesman: </w:t>
      </w:r>
      <w:r>
        <w:rPr>
          <w:rFonts w:ascii="Consolas" w:hAnsi="Consolas"/>
          <w:sz w:val="19"/>
        </w:rPr>
        <w:t>visible_companies = 1</w:t>
      </w:r>
      <w:r>
        <w:t xml:space="preserve"> (only the pilot, of many on the</w:t>
      </w:r>
    </w:p>
    <w:p>
      <w:r>
        <w:t xml:space="preserve">instance), </w:t>
      </w:r>
      <w:r>
        <w:rPr>
          <w:rFonts w:ascii="Consolas" w:hAnsi="Consolas"/>
          <w:sz w:val="19"/>
        </w:rPr>
        <w:t>other_tenant_customers_leaked = 0</w:t>
      </w:r>
      <w:r>
        <w:t>. No cross-tenant data exposure.</w:t>
      </w:r>
    </w:p>
    <w:p>
      <w:pPr>
        <w:pStyle w:val="Heading3"/>
      </w:pPr>
      <w:r>
        <w:t>3.6 Finding V2 re-confirmed at runtime</w:t>
      </w:r>
    </w:p>
    <w:p>
      <w:r>
        <w:rPr>
          <w:rFonts w:ascii="Consolas" w:hAnsi="Consolas"/>
          <w:sz w:val="19"/>
        </w:rPr>
        <w:t>erp_override_van_return</w:t>
      </w:r>
      <w:r>
        <w:t xml:space="preserve"> (guarded) called by salesman → </w:t>
      </w:r>
      <w:r>
        <w:rPr>
          <w:rFonts w:ascii="Consolas" w:hAnsi="Consolas"/>
          <w:sz w:val="19"/>
        </w:rPr>
        <w:t>permission_denied</w:t>
      </w:r>
      <w:r>
        <w:t>.</w:t>
      </w:r>
    </w:p>
    <w:p>
      <w:r>
        <w:rPr>
          <w:rFonts w:ascii="Consolas" w:hAnsi="Consolas"/>
          <w:sz w:val="19"/>
        </w:rPr>
        <w:t>erp_decide_van_return</w:t>
      </w:r>
      <w:r>
        <w:t xml:space="preserve"> (no </w:t>
      </w:r>
      <w:r>
        <w:rPr>
          <w:rFonts w:ascii="Consolas" w:hAnsi="Consolas"/>
          <w:sz w:val="19"/>
        </w:rPr>
        <w:t>erp_guard_rpc</w:t>
      </w:r>
      <w:r>
        <w:t>) called by salesman → reached body</w:t>
      </w:r>
    </w:p>
    <w:p>
      <w:r>
        <w:t>(</w:t>
      </w:r>
      <w:r>
        <w:rPr>
          <w:rFonts w:ascii="Consolas" w:hAnsi="Consolas"/>
          <w:sz w:val="19"/>
        </w:rPr>
        <w:t>return_not_found</w:t>
      </w:r>
      <w:r>
        <w:t xml:space="preserve">) </w:t>
      </w:r>
      <w:r>
        <w:rPr>
          <w:b/>
        </w:rPr>
        <w:t>without</w:t>
      </w:r>
      <w:r>
        <w:t xml:space="preserve"> an authz stop. Confirms V2: the return RPCs lack the</w:t>
      </w:r>
    </w:p>
    <w:p>
      <w:r>
        <w:t>DB guard (UI-path is still gated by the server action; gap is direct RPC access).</w:t>
      </w:r>
    </w:p>
    <w:p>
      <w:pPr>
        <w:pStyle w:val="Heading2"/>
      </w:pPr>
      <w:r>
        <w:rPr>
          <w:color w:val="1F497D"/>
        </w:rPr>
        <w:t>4. Findings from execution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Sev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Role-catalog drift:</w:t>
            </w:r>
            <w:r>
              <w:t xml:space="preserve"> the </w:t>
            </w:r>
            <w:r>
              <w:rPr>
                <w:rFonts w:ascii="Consolas" w:hAnsi="Consolas"/>
                <w:sz w:val="19"/>
              </w:rPr>
              <w:t>auditor</w:t>
            </w:r>
            <w:r>
              <w:t xml:space="preserve"> role is absent from the global </w:t>
            </w:r>
            <w:r>
              <w:rPr>
                <w:rFonts w:ascii="Consolas" w:hAnsi="Consolas"/>
                <w:sz w:val="19"/>
              </w:rPr>
              <w:t>erp_roles</w:t>
            </w:r>
            <w:r>
              <w:t xml:space="preserve"> catalog </w:t>
            </w:r>
            <w:r>
              <w:rPr>
                <w:b/>
              </w:rPr>
              <w:t>and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erp_role_permissions</w:t>
            </w:r>
            <w:r>
              <w:t xml:space="preserve"> (DB), though it exists in the TS matrix. On a real tenant, assigning </w:t>
            </w:r>
            <w:r>
              <w:rPr>
                <w:rFonts w:ascii="Consolas" w:hAnsi="Consolas"/>
                <w:sz w:val="19"/>
              </w:rPr>
              <w:t>auditor</w:t>
            </w:r>
            <w:r>
              <w:t xml:space="preserve"> fails an FK, and an auditor would resolve </w:t>
            </w:r>
            <w:r>
              <w:rPr>
                <w:b/>
              </w:rPr>
              <w:t>zero</w:t>
            </w:r>
            <w:r>
              <w:t xml:space="preserve"> DB permissions (blocking RLS/RPC-gated reads). *Patched inside the pilot tenant* (registered the role + company-scoped permissions); </w:t>
            </w:r>
            <w:r>
              <w:rPr>
                <w:b/>
              </w:rPr>
              <w:t>production tenants need the global seed.</w:t>
            </w:r>
          </w:p>
        </w:tc>
        <w:tc>
          <w:tcPr>
            <w:tcW w:type="dxa" w:w="2160"/>
          </w:tcPr>
          <w:p>
            <w:r>
              <w:t>Open — needs decision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erp_van_return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erp_decide_van_return</w:t>
            </w:r>
            <w:r>
              <w:t xml:space="preserve"> lack </w:t>
            </w:r>
            <w:r>
              <w:rPr>
                <w:rFonts w:ascii="Consolas" w:hAnsi="Consolas"/>
                <w:sz w:val="19"/>
              </w:rPr>
              <w:t>erp_guard_rpc</w:t>
            </w:r>
            <w:r>
              <w:t xml:space="preserve"> (runtime-confirmed). Direct RPC bypasses </w:t>
            </w:r>
            <w:r>
              <w:rPr>
                <w:rFonts w:ascii="Consolas" w:hAnsi="Consolas"/>
                <w:sz w:val="19"/>
              </w:rPr>
              <w:t>returns.create</w:t>
            </w:r>
            <w:r>
              <w:t>/</w:t>
            </w:r>
            <w:r>
              <w:rPr>
                <w:rFonts w:ascii="Consolas" w:hAnsi="Consolas"/>
                <w:sz w:val="19"/>
              </w:rPr>
              <w:t>returns.approve</w:t>
            </w:r>
            <w:r>
              <w:t>; UI path still gated.</w:t>
            </w:r>
          </w:p>
        </w:tc>
        <w:tc>
          <w:tcPr>
            <w:tcW w:type="dxa" w:w="2160"/>
          </w:tcPr>
          <w:p>
            <w:r>
              <w:t>Carried (owner-deferred)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loadDayCloseReview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loadPendingDayCloses</w:t>
            </w:r>
            <w:r>
              <w:t xml:space="preserve"> expose cash unmasked to reconcile-only roles.</w:t>
            </w:r>
          </w:p>
        </w:tc>
        <w:tc>
          <w:tcPr>
            <w:tcW w:type="dxa" w:w="2160"/>
          </w:tcPr>
          <w:p>
            <w:r>
              <w:t>Carried (owner-deferred)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N1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erp_guard_rpc</w:t>
            </w:r>
            <w:r>
              <w:t xml:space="preserve"> transaction-local re-entrancy flag (by design) — relevant only to test harnesses that batch RPCs in one transaction. No app impact.</w:t>
            </w:r>
          </w:p>
        </w:tc>
        <w:tc>
          <w:tcPr>
            <w:tcW w:type="dxa" w:w="2160"/>
          </w:tcPr>
          <w:p>
            <w:r>
              <w:t>Informational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N2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Screenshots not captured — container egress blocked + preview protected. Runtime used as source of truth per owner.</w:t>
            </w:r>
          </w:p>
        </w:tc>
        <w:tc>
          <w:tcPr>
            <w:tcW w:type="dxa" w:w="2160"/>
          </w:tcPr>
          <w:p>
            <w:r>
              <w:t>Informational</w:t>
            </w:r>
          </w:p>
        </w:tc>
      </w:tr>
    </w:tbl>
    <w:p/>
    <w:p>
      <w:pPr>
        <w:pStyle w:val="Heading2"/>
      </w:pPr>
      <w:r>
        <w:rPr>
          <w:color w:val="1F497D"/>
        </w:rPr>
        <w:t>5. GO / NO-GO recommendation</w:t>
      </w:r>
    </w:p>
    <w:p>
      <w:r>
        <w:rPr>
          <w:b/>
        </w:rPr>
        <w:t>Recommendation: GO for pilot</w:t>
      </w:r>
      <w:r>
        <w:t xml:space="preserve"> — conditional.</w:t>
      </w:r>
    </w:p>
    <w:p>
      <w:r>
        <w:rPr>
          <w:b/>
        </w:rPr>
        <w:t>Why GO:</w:t>
      </w:r>
      <w:r>
        <w:t xml:space="preserve"> the DB-enforced authorization, role segregation, day-close/settlement/</w:t>
      </w:r>
    </w:p>
    <w:p>
      <w:r>
        <w:t>reconciliation workflow, override governance (admin-only; auditor read-only), cash &amp;</w:t>
      </w:r>
    </w:p>
    <w:p>
      <w:r>
        <w:t>credit visibility inputs, audit-trail completeness, and tenant isolation were all</w:t>
      </w:r>
    </w:p>
    <w:p>
      <w:r>
        <w:t xml:space="preserve">executed at runtime as the 8 real roles and </w:t>
      </w:r>
      <w:r>
        <w:rPr>
          <w:b/>
        </w:rPr>
        <w:t>passed (122/122 + RLS + audit)</w:t>
      </w:r>
      <w:r>
        <w:t>, against</w:t>
      </w:r>
    </w:p>
    <w:p>
      <w:r>
        <w:t>the documented matrix. V1 (the High security gap) is deployed-closed.</w:t>
      </w:r>
    </w:p>
    <w:p>
      <w:r>
        <w:rPr>
          <w:b/>
        </w:rPr>
        <w:t>Conditions:</w:t>
      </w:r>
    </w:p>
    <w:p>
      <w:pPr>
        <w:pStyle w:val="ListNumber"/>
      </w:pPr>
      <w:r>
        <w:rPr>
          <w:b/>
        </w:rPr>
        <w:t>D1 before any production tenant uses the `auditor` role</w:t>
      </w:r>
      <w:r>
        <w:t xml:space="preserve"> — seed </w:t>
      </w:r>
      <w:r>
        <w:rPr>
          <w:rFonts w:ascii="Consolas" w:hAnsi="Consolas"/>
          <w:sz w:val="19"/>
        </w:rPr>
        <w:t>auditor</w:t>
      </w:r>
      <w:r>
        <w:t xml:space="preserve"> into the</w:t>
      </w:r>
    </w:p>
    <w:p>
      <w:r>
        <w:t xml:space="preserve">global </w:t>
      </w:r>
      <w:r>
        <w:rPr>
          <w:rFonts w:ascii="Consolas" w:hAnsi="Consolas"/>
          <w:sz w:val="19"/>
        </w:rPr>
        <w:t>erp_roles</w:t>
      </w:r>
      <w:r>
        <w:t xml:space="preserve"> + </w:t>
      </w:r>
      <w:r>
        <w:rPr>
          <w:rFonts w:ascii="Consolas" w:hAnsi="Consolas"/>
          <w:sz w:val="19"/>
        </w:rPr>
        <w:t>erp_role_permissions</w:t>
      </w:r>
      <w:r>
        <w:t xml:space="preserve"> (one catalog migration). The pilot tenant</w:t>
      </w:r>
    </w:p>
    <w:p>
      <w:r>
        <w:t>is already patched, so pilot execution is unblocked; production roll-out is not.</w:t>
      </w:r>
    </w:p>
    <w:p>
      <w:pPr>
        <w:pStyle w:val="ListNumber"/>
      </w:pPr>
      <w:r>
        <w:rPr>
          <w:b/>
        </w:rPr>
        <w:t>V2 / V3</w:t>
      </w:r>
      <w:r>
        <w:t xml:space="preserve"> remain accepted, owner-deferred known gaps (UI-path protected; V2 is</w:t>
      </w:r>
    </w:p>
    <w:p>
      <w:r>
        <w:t>direct-RPC only; V3 is over-exposure to a trusted internal role). Re-confirm they stay</w:t>
      </w:r>
    </w:p>
    <w:p>
      <w:r>
        <w:t>on the post-pilot list.</w:t>
      </w:r>
    </w:p>
    <w:p>
      <w:pPr>
        <w:pStyle w:val="ListNumber"/>
      </w:pPr>
      <w:r>
        <w:rPr>
          <w:b/>
        </w:rPr>
        <w:t>Pilot team to run the manual UI pass</w:t>
      </w:r>
      <w:r>
        <w:t xml:space="preserve"> (seeded credentials, §1) to visually confirm</w:t>
      </w:r>
    </w:p>
    <w:p>
      <w:r>
        <w:t>the three TS-render behaviors I could not screenshot (sidebar per role, in-browser</w:t>
      </w:r>
    </w:p>
    <w:p>
      <w:r>
        <w:t>direct-URL redirect, cash/credit render masking). Their permission inputs are all</w:t>
      </w:r>
    </w:p>
    <w:p>
      <w:r>
        <w:t>runtime-proven, so this is confirmation, not discovery.</w:t>
      </w:r>
    </w:p>
    <w:p>
      <w:r>
        <w:rPr>
          <w:b/>
        </w:rPr>
        <w:t>No NO-GO blockers found</w:t>
      </w:r>
      <w:r>
        <w:t xml:space="preserve"> at the authorization/workflow/data-isolation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