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F2A44"/>
          <w:sz w:val="76"/>
        </w:rPr>
        <w:t>VANTORA</w:t>
      </w:r>
    </w:p>
    <w:p>
      <w:pPr>
        <w:jc w:val="center"/>
      </w:pPr>
      <w:r>
        <w:rPr>
          <w:b/>
          <w:color w:val="1F2A44"/>
          <w:sz w:val="44"/>
        </w:rPr>
        <w:t>Approval Convergence — Phase 2</w:t>
      </w:r>
    </w:p>
    <w:p>
      <w:pPr>
        <w:jc w:val="center"/>
      </w:pPr>
      <w:r>
        <w:rPr>
          <w:color w:val="555555"/>
          <w:sz w:val="21"/>
        </w:rPr>
        <w:t>Delivered: branch scope + SLA escalation · Planned: unified inbox + 6 field-workflow migrations</w:t>
      </w:r>
    </w:p>
    <w:p/>
    <w:p/>
    <w:p>
      <w:pPr>
        <w:jc w:val="center"/>
      </w:pPr>
      <w:r>
        <w:rPr>
          <w:i/>
          <w:color w:val="555555"/>
          <w:sz w:val="18"/>
        </w:rPr>
        <w:t>Additive engine primitives validated on staging · field migrations flagged + reversible · pilot untouched · June 2026</w:t>
      </w:r>
    </w:p>
    <w:p>
      <w:r>
        <w:br w:type="page"/>
      </w:r>
    </w:p>
    <w:p>
      <w:pPr>
        <w:pStyle w:val="Heading1"/>
      </w:pPr>
      <w:r>
        <w:rPr>
          <w:b/>
          <w:color w:val="1F2A44"/>
          <w:sz w:val="28"/>
        </w:rPr>
        <w:t>Status</w:t>
      </w:r>
    </w:p>
    <w:tbl>
      <w:tblPr>
        <w:tblStyle w:val="TableGrid"/>
        <w:tblW w:type="auto" w:w="0"/>
        <w:jc w:val="center"/>
        <w:tblLook w:firstColumn="1" w:firstRow="1" w:lastColumn="0" w:lastRow="0" w:noHBand="0" w:noVBand="1" w:val="04A0"/>
      </w:tblPr>
      <w:tblGrid>
        <w:gridCol w:w="2880"/>
        <w:gridCol w:w="2880"/>
        <w:gridCol w:w="2880"/>
      </w:tblGrid>
      <w:tr>
        <w:tc>
          <w:tcPr>
            <w:tcW w:type="dxa" w:w="4608"/>
            <w:shd w:val="clear" w:color="auto" w:fill="1F2A44"/>
          </w:tcPr>
          <w:p>
            <w:r/>
            <w:r>
              <w:rPr>
                <w:b/>
                <w:color w:val="FFFFFF"/>
                <w:sz w:val="16"/>
              </w:rPr>
              <w:t>Item</w:t>
            </w:r>
          </w:p>
        </w:tc>
        <w:tc>
          <w:tcPr>
            <w:tcW w:type="dxa" w:w="1440"/>
            <w:shd w:val="clear" w:color="auto" w:fill="1F2A44"/>
          </w:tcPr>
          <w:p>
            <w:r/>
            <w:r>
              <w:rPr>
                <w:b/>
                <w:color w:val="FFFFFF"/>
                <w:sz w:val="16"/>
              </w:rPr>
              <w:t>Phase</w:t>
            </w:r>
          </w:p>
        </w:tc>
        <w:tc>
          <w:tcPr>
            <w:tcW w:type="dxa" w:w="3456"/>
            <w:shd w:val="clear" w:color="auto" w:fill="1F2A44"/>
          </w:tcPr>
          <w:p>
            <w:r/>
            <w:r>
              <w:rPr>
                <w:b/>
                <w:color w:val="FFFFFF"/>
                <w:sz w:val="16"/>
              </w:rPr>
              <w:t>Status</w:t>
            </w:r>
          </w:p>
        </w:tc>
      </w:tr>
      <w:tr>
        <w:tc>
          <w:tcPr>
            <w:tcW w:type="dxa" w:w="4608"/>
          </w:tcPr>
          <w:p>
            <w:r/>
            <w:r>
              <w:rPr>
                <w:sz w:val="16"/>
              </w:rPr>
              <w:t>Permission resolution + governance + inbox fix</w:t>
            </w:r>
          </w:p>
        </w:tc>
        <w:tc>
          <w:tcPr>
            <w:tcW w:type="dxa" w:w="1440"/>
          </w:tcPr>
          <w:p>
            <w:r/>
            <w:r>
              <w:rPr>
                <w:sz w:val="16"/>
              </w:rPr>
              <w:t>P0</w:t>
            </w:r>
          </w:p>
        </w:tc>
        <w:tc>
          <w:tcPr>
            <w:tcW w:type="dxa" w:w="3456"/>
            <w:shd w:val="clear" w:color="auto" w:fill="E5F2E9"/>
          </w:tcPr>
          <w:p>
            <w:r/>
            <w:r>
              <w:rPr>
                <w:sz w:val="16"/>
              </w:rPr>
              <w:t>Delivered (committed)</w:t>
            </w:r>
          </w:p>
        </w:tc>
      </w:tr>
      <w:tr>
        <w:tc>
          <w:tcPr>
            <w:tcW w:type="dxa" w:w="4608"/>
            <w:shd w:val="clear" w:color="auto" w:fill="F2F4F8"/>
          </w:tcPr>
          <w:p>
            <w:r/>
            <w:r>
              <w:rPr>
                <w:sz w:val="16"/>
              </w:rPr>
              <w:t>Credit-Limit / Trade-Spend / Price-Change on engine</w:t>
            </w:r>
          </w:p>
        </w:tc>
        <w:tc>
          <w:tcPr>
            <w:tcW w:type="dxa" w:w="1440"/>
            <w:shd w:val="clear" w:color="auto" w:fill="F2F4F8"/>
          </w:tcPr>
          <w:p>
            <w:r/>
            <w:r>
              <w:rPr>
                <w:sz w:val="16"/>
              </w:rPr>
              <w:t>P1</w:t>
            </w:r>
          </w:p>
        </w:tc>
        <w:tc>
          <w:tcPr>
            <w:tcW w:type="dxa" w:w="3456"/>
            <w:shd w:val="clear" w:color="auto" w:fill="E5F2E9"/>
          </w:tcPr>
          <w:p>
            <w:r/>
            <w:r>
              <w:rPr>
                <w:sz w:val="16"/>
              </w:rPr>
              <w:t>Delivered (flagged)</w:t>
            </w:r>
          </w:p>
        </w:tc>
      </w:tr>
      <w:tr>
        <w:tc>
          <w:tcPr>
            <w:tcW w:type="dxa" w:w="4608"/>
          </w:tcPr>
          <w:p>
            <w:r/>
            <w:r>
              <w:rPr>
                <w:sz w:val="16"/>
              </w:rPr>
              <w:t>Branch-scoped approvers</w:t>
            </w:r>
          </w:p>
        </w:tc>
        <w:tc>
          <w:tcPr>
            <w:tcW w:type="dxa" w:w="1440"/>
          </w:tcPr>
          <w:p>
            <w:r/>
            <w:r>
              <w:rPr>
                <w:sz w:val="16"/>
              </w:rPr>
              <w:t>P1b</w:t>
            </w:r>
          </w:p>
        </w:tc>
        <w:tc>
          <w:tcPr>
            <w:tcW w:type="dxa" w:w="3456"/>
            <w:shd w:val="clear" w:color="auto" w:fill="E5F2E9"/>
          </w:tcPr>
          <w:p>
            <w:r/>
            <w:r>
              <w:rPr>
                <w:sz w:val="16"/>
              </w:rPr>
              <w:t>Delivered this phase (additive, staging-validated)</w:t>
            </w:r>
          </w:p>
        </w:tc>
      </w:tr>
      <w:tr>
        <w:tc>
          <w:tcPr>
            <w:tcW w:type="dxa" w:w="4608"/>
            <w:shd w:val="clear" w:color="auto" w:fill="F2F4F8"/>
          </w:tcPr>
          <w:p>
            <w:r/>
            <w:r>
              <w:rPr>
                <w:sz w:val="16"/>
              </w:rPr>
              <w:t>SLA escalation routing</w:t>
            </w:r>
          </w:p>
        </w:tc>
        <w:tc>
          <w:tcPr>
            <w:tcW w:type="dxa" w:w="1440"/>
            <w:shd w:val="clear" w:color="auto" w:fill="F2F4F8"/>
          </w:tcPr>
          <w:p>
            <w:r/>
            <w:r>
              <w:rPr>
                <w:sz w:val="16"/>
              </w:rPr>
              <w:t>P4 foundation</w:t>
            </w:r>
          </w:p>
        </w:tc>
        <w:tc>
          <w:tcPr>
            <w:tcW w:type="dxa" w:w="3456"/>
            <w:shd w:val="clear" w:color="auto" w:fill="E5F2E9"/>
          </w:tcPr>
          <w:p>
            <w:r/>
            <w:r>
              <w:rPr>
                <w:sz w:val="16"/>
              </w:rPr>
              <w:t>Delivered this phase (additive, staging-validated)</w:t>
            </w:r>
          </w:p>
        </w:tc>
      </w:tr>
      <w:tr>
        <w:tc>
          <w:tcPr>
            <w:tcW w:type="dxa" w:w="4608"/>
          </w:tcPr>
          <w:p>
            <w:r/>
            <w:r>
              <w:rPr>
                <w:sz w:val="16"/>
              </w:rPr>
              <w:t>Unified approval inbox</w:t>
            </w:r>
          </w:p>
        </w:tc>
        <w:tc>
          <w:tcPr>
            <w:tcW w:type="dxa" w:w="1440"/>
          </w:tcPr>
          <w:p>
            <w:r/>
            <w:r>
              <w:rPr>
                <w:sz w:val="16"/>
              </w:rPr>
              <w:t>P3</w:t>
            </w:r>
          </w:p>
        </w:tc>
        <w:tc>
          <w:tcPr>
            <w:tcW w:type="dxa" w:w="3456"/>
            <w:shd w:val="clear" w:color="auto" w:fill="FBF1DD"/>
          </w:tcPr>
          <w:p>
            <w:r/>
            <w:r>
              <w:rPr>
                <w:sz w:val="16"/>
              </w:rPr>
              <w:t>Designed (this doc) — build next</w:t>
            </w:r>
          </w:p>
        </w:tc>
      </w:tr>
      <w:tr>
        <w:tc>
          <w:tcPr>
            <w:tcW w:type="dxa" w:w="4608"/>
            <w:shd w:val="clear" w:color="auto" w:fill="F2F4F8"/>
          </w:tcPr>
          <w:p>
            <w:r/>
            <w:r>
              <w:rPr>
                <w:sz w:val="16"/>
              </w:rPr>
              <w:t>6 field-workflow migrations</w:t>
            </w:r>
          </w:p>
        </w:tc>
        <w:tc>
          <w:tcPr>
            <w:tcW w:type="dxa" w:w="1440"/>
            <w:shd w:val="clear" w:color="auto" w:fill="F2F4F8"/>
          </w:tcPr>
          <w:p>
            <w:r/>
            <w:r>
              <w:rPr>
                <w:sz w:val="16"/>
              </w:rPr>
              <w:t>P2</w:t>
            </w:r>
          </w:p>
        </w:tc>
        <w:tc>
          <w:tcPr>
            <w:tcW w:type="dxa" w:w="3456"/>
            <w:shd w:val="clear" w:color="auto" w:fill="FBF1DD"/>
          </w:tcPr>
          <w:p>
            <w:r/>
            <w:r>
              <w:rPr>
                <w:sz w:val="16"/>
              </w:rPr>
              <w:t>Planned (this doc) — flagged, post-pilot activation</w:t>
            </w:r>
          </w:p>
        </w:tc>
      </w:tr>
    </w:tbl>
    <w:p>
      <w:r>
        <w:br w:type="page"/>
      </w:r>
    </w:p>
    <w:p>
      <w:pPr>
        <w:pStyle w:val="Title"/>
      </w:pPr>
      <w:r>
        <w:rPr>
          <w:b/>
          <w:color w:val="1F2A44"/>
          <w:sz w:val="36"/>
        </w:rPr>
        <w:t>1 · Branch-scoped approvers (P1b) — DELIVERED</w:t>
      </w:r>
    </w:p>
    <w:p>
      <w:pPr>
        <w:pStyle w:val="Heading2"/>
      </w:pPr>
      <w:r>
        <w:rPr>
          <w:b/>
          <w:color w:val="1B4F9E"/>
          <w:sz w:val="22"/>
        </w:rPr>
        <w:t>Design</w:t>
      </w:r>
    </w:p>
    <w:p>
      <w:r>
        <w:rPr>
          <w:b w:val="0"/>
          <w:i w:val="0"/>
          <w:color w:val="1A1A1A"/>
          <w:sz w:val="20"/>
        </w:rPr>
        <w:t>A step may set branch_scoped=true. When set, its approvers are resolved to the users holding the role/permission IN THE REQUEST'S BRANCH (erp_workflow_instances.branch_id) and assigned as plain 'user' tasks. Because the resulting tasks are 'user' tasks, the decide RPC is UNCHANGED. erp_workflow_start now records branch_id from context.branch_id (additive — null when not provided, so legacy behaviour is identical).</w:t>
      </w:r>
    </w:p>
    <w:p>
      <w:pPr>
        <w:pStyle w:val="Heading2"/>
      </w:pPr>
      <w:r>
        <w:rPr>
          <w:b/>
          <w:color w:val="1B4F9E"/>
          <w:sz w:val="22"/>
        </w:rPr>
        <w:t>Implementation (0299)</w:t>
      </w:r>
    </w:p>
    <w:p>
      <w:pPr>
        <w:pStyle w:val="ListBullet"/>
      </w:pPr>
      <w:r>
        <w:rPr>
          <w:b w:val="0"/>
          <w:color w:val="1A1A1A"/>
          <w:sz w:val="18"/>
        </w:rPr>
        <w:t>erp_workflow_steps.branch_scoped column (default false).</w:t>
      </w:r>
    </w:p>
    <w:p>
      <w:pPr>
        <w:pStyle w:val="ListBullet"/>
      </w:pPr>
      <w:r>
        <w:rPr>
          <w:b w:val="0"/>
          <w:color w:val="1A1A1A"/>
          <w:sz w:val="18"/>
        </w:rPr>
        <w:t>erp_workflow_resolve_users_in_branch(company, type, ref, branch) — branch-restricted resolver.</w:t>
      </w:r>
    </w:p>
    <w:p>
      <w:pPr>
        <w:pStyle w:val="ListBullet"/>
      </w:pPr>
      <w:r>
        <w:rPr>
          <w:b w:val="0"/>
          <w:color w:val="1A1A1A"/>
          <w:sz w:val="18"/>
        </w:rPr>
        <w:t>erp_workflow_make_tasks — faithful superset + branch-scoped fan-out to in-branch users.</w:t>
      </w:r>
    </w:p>
    <w:p>
      <w:pPr>
        <w:pStyle w:val="ListBullet"/>
      </w:pPr>
      <w:r>
        <w:rPr>
          <w:b w:val="0"/>
          <w:color w:val="1A1A1A"/>
          <w:sz w:val="18"/>
        </w:rPr>
        <w:t>erp_workflow_start — faithful superset that records instance.branch_id from context.</w:t>
      </w:r>
    </w:p>
    <w:p>
      <w:pPr>
        <w:pStyle w:val="Heading2"/>
      </w:pPr>
      <w:r>
        <w:rPr>
          <w:b/>
          <w:color w:val="1B4F9E"/>
          <w:sz w:val="22"/>
        </w:rPr>
        <w:t>Tests / staging validation</w:t>
      </w:r>
    </w:p>
    <w:tbl>
      <w:tblPr>
        <w:tblStyle w:val="TableGrid"/>
        <w:tblW w:type="auto" w:w="0"/>
        <w:jc w:val="center"/>
        <w:tblLook w:firstColumn="1" w:firstRow="1" w:lastColumn="0" w:lastRow="0" w:noHBand="0" w:noVBand="1" w:val="04A0"/>
      </w:tblPr>
      <w:tblGrid>
        <w:gridCol w:w="4320"/>
        <w:gridCol w:w="4320"/>
      </w:tblGrid>
      <w:tr>
        <w:tc>
          <w:tcPr>
            <w:tcW w:type="dxa" w:w="5184"/>
            <w:shd w:val="clear" w:color="auto" w:fill="1F2A44"/>
          </w:tcPr>
          <w:p>
            <w:r/>
            <w:r>
              <w:rPr>
                <w:b/>
                <w:color w:val="FFFFFF"/>
                <w:sz w:val="16"/>
              </w:rPr>
              <w:t>Check</w:t>
            </w:r>
          </w:p>
        </w:tc>
        <w:tc>
          <w:tcPr>
            <w:tcW w:type="dxa" w:w="4320"/>
            <w:shd w:val="clear" w:color="auto" w:fill="1F2A44"/>
          </w:tcPr>
          <w:p>
            <w:r/>
            <w:r>
              <w:rPr>
                <w:b/>
                <w:color w:val="FFFFFF"/>
                <w:sz w:val="16"/>
              </w:rPr>
              <w:t>Result</w:t>
            </w:r>
          </w:p>
        </w:tc>
      </w:tr>
      <w:tr>
        <w:tc>
          <w:tcPr>
            <w:tcW w:type="dxa" w:w="5184"/>
          </w:tcPr>
          <w:p>
            <w:r/>
            <w:r>
              <w:rPr>
                <w:sz w:val="16"/>
              </w:rPr>
              <w:t>resolve_users_in_branch(branch1)</w:t>
            </w:r>
          </w:p>
        </w:tc>
        <w:tc>
          <w:tcPr>
            <w:tcW w:type="dxa" w:w="4320"/>
            <w:shd w:val="clear" w:color="auto" w:fill="E5F2E9"/>
          </w:tcPr>
          <w:p>
            <w:r/>
            <w:r>
              <w:rPr>
                <w:sz w:val="16"/>
              </w:rPr>
              <w:t>3 in-branch approvers</w:t>
            </w:r>
          </w:p>
        </w:tc>
      </w:tr>
      <w:tr>
        <w:tc>
          <w:tcPr>
            <w:tcW w:type="dxa" w:w="5184"/>
            <w:shd w:val="clear" w:color="auto" w:fill="F2F4F8"/>
          </w:tcPr>
          <w:p>
            <w:r/>
            <w:r>
              <w:rPr>
                <w:sz w:val="16"/>
              </w:rPr>
              <w:t>resolve_users_in_branch(random branch)</w:t>
            </w:r>
          </w:p>
        </w:tc>
        <w:tc>
          <w:tcPr>
            <w:tcW w:type="dxa" w:w="4320"/>
            <w:shd w:val="clear" w:color="auto" w:fill="E5F2E9"/>
          </w:tcPr>
          <w:p>
            <w:r/>
            <w:r>
              <w:rPr>
                <w:sz w:val="16"/>
              </w:rPr>
              <w:t>0 (correctly excluded)</w:t>
            </w:r>
          </w:p>
        </w:tc>
      </w:tr>
      <w:tr>
        <w:tc>
          <w:tcPr>
            <w:tcW w:type="dxa" w:w="5184"/>
          </w:tcPr>
          <w:p>
            <w:r/>
            <w:r>
              <w:rPr>
                <w:sz w:val="16"/>
              </w:rPr>
              <w:t>branch-scoped start → make_tasks</w:t>
            </w:r>
          </w:p>
        </w:tc>
        <w:tc>
          <w:tcPr>
            <w:tcW w:type="dxa" w:w="4320"/>
            <w:shd w:val="clear" w:color="auto" w:fill="E5F2E9"/>
          </w:tcPr>
          <w:p>
            <w:r/>
            <w:r>
              <w:rPr>
                <w:sz w:val="16"/>
              </w:rPr>
              <w:t>3 'user' tasks for exactly the in-branch approvers</w:t>
            </w:r>
          </w:p>
        </w:tc>
      </w:tr>
      <w:tr>
        <w:tc>
          <w:tcPr>
            <w:tcW w:type="dxa" w:w="5184"/>
            <w:shd w:val="clear" w:color="auto" w:fill="F2F4F8"/>
          </w:tcPr>
          <w:p>
            <w:r/>
            <w:r>
              <w:rPr>
                <w:sz w:val="16"/>
              </w:rPr>
              <w:t>decide path</w:t>
            </w:r>
          </w:p>
        </w:tc>
        <w:tc>
          <w:tcPr>
            <w:tcW w:type="dxa" w:w="4320"/>
            <w:shd w:val="clear" w:color="auto" w:fill="E5F2E9"/>
          </w:tcPr>
          <w:p>
            <w:r/>
            <w:r>
              <w:rPr>
                <w:sz w:val="16"/>
              </w:rPr>
              <w:t>unchanged ('user' tasks already authorised)</w:t>
            </w:r>
          </w:p>
        </w:tc>
      </w:tr>
    </w:tbl>
    <w:p>
      <w:pPr>
        <w:pStyle w:val="Heading2"/>
      </w:pPr>
      <w:r>
        <w:rPr>
          <w:b/>
          <w:color w:val="1B4F9E"/>
          <w:sz w:val="22"/>
        </w:rPr>
        <w:t>Rollback / risk</w:t>
      </w:r>
    </w:p>
    <w:p>
      <w:r>
        <w:rPr>
          <w:b w:val="0"/>
          <w:i w:val="0"/>
          <w:color w:val="1B7F3B"/>
          <w:sz w:val="20"/>
        </w:rPr>
        <w:t>Rollback: drop column branch_scoped; restore prior make_tasks/start. No step sets branch_scoped, so DORMANT — zero current effect. Risk: LOW (additive, behaviour-preserving).</w:t>
      </w:r>
    </w:p>
    <w:p>
      <w:r>
        <w:br w:type="page"/>
      </w:r>
    </w:p>
    <w:p>
      <w:pPr>
        <w:pStyle w:val="Title"/>
      </w:pPr>
      <w:r>
        <w:rPr>
          <w:b/>
          <w:color w:val="1F2A44"/>
          <w:sz w:val="36"/>
        </w:rPr>
        <w:t>2 · SLA escalation routing (P4 foundation) — DELIVERED</w:t>
      </w:r>
    </w:p>
    <w:p>
      <w:pPr>
        <w:pStyle w:val="Heading2"/>
      </w:pPr>
      <w:r>
        <w:rPr>
          <w:b/>
          <w:color w:val="1B4F9E"/>
          <w:sz w:val="22"/>
        </w:rPr>
        <w:t>Design</w:t>
      </w:r>
    </w:p>
    <w:p>
      <w:r>
        <w:rPr>
          <w:b w:val="0"/>
          <w:i w:val="0"/>
          <w:color w:val="1A1A1A"/>
          <w:sz w:val="20"/>
        </w:rPr>
        <w:t>A new function escalates overdue pending tasks: for any pending task past its due_at whose step defines escalate_to, it ADDS the escalation target (company_admin or a role) as a 'user' task and stamps the original's escalated_at. It does NOT change instance status or the decide RPC, so existing decisions keep working and either approver can act. Idempotent (escalated_at guards re-escalation).</w:t>
      </w:r>
    </w:p>
    <w:p>
      <w:pPr>
        <w:pStyle w:val="Heading2"/>
      </w:pPr>
      <w:r>
        <w:rPr>
          <w:b/>
          <w:color w:val="1B4F9E"/>
          <w:sz w:val="22"/>
        </w:rPr>
        <w:t>Implementation (0300)</w:t>
      </w:r>
    </w:p>
    <w:p>
      <w:pPr>
        <w:pStyle w:val="ListBullet"/>
      </w:pPr>
      <w:r>
        <w:rPr>
          <w:b w:val="0"/>
          <w:color w:val="1A1A1A"/>
          <w:sz w:val="18"/>
        </w:rPr>
        <w:t>erp_workflow_escalate_overdue() → integer (count escalated). Additive, new function, execute revoked from public/anon.</w:t>
      </w:r>
    </w:p>
    <w:p>
      <w:pPr>
        <w:pStyle w:val="ListBullet"/>
      </w:pPr>
      <w:r>
        <w:rPr>
          <w:b w:val="0"/>
          <w:color w:val="1A1A1A"/>
          <w:sz w:val="18"/>
        </w:rPr>
        <w:t>Wiring (infra, not in this migration): schedule it on pg_cron (e.g. every 15 min) — `select cron.schedule('wf-escalate','*/15 * * * *', $$select erp_workflow_escalate_overdue()$$);`</w:t>
      </w:r>
    </w:p>
    <w:p>
      <w:pPr>
        <w:pStyle w:val="Heading2"/>
      </w:pPr>
      <w:r>
        <w:rPr>
          <w:b/>
          <w:color w:val="1B4F9E"/>
          <w:sz w:val="22"/>
        </w:rPr>
        <w:t>Tests / staging validation</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2A44"/>
          </w:tcPr>
          <w:p>
            <w:r/>
            <w:r>
              <w:rPr>
                <w:b/>
                <w:color w:val="FFFFFF"/>
                <w:sz w:val="16"/>
              </w:rPr>
              <w:t>Check</w:t>
            </w:r>
          </w:p>
        </w:tc>
        <w:tc>
          <w:tcPr>
            <w:tcW w:type="dxa" w:w="5184"/>
            <w:shd w:val="clear" w:color="auto" w:fill="1F2A44"/>
          </w:tcPr>
          <w:p>
            <w:r/>
            <w:r>
              <w:rPr>
                <w:b/>
                <w:color w:val="FFFFFF"/>
                <w:sz w:val="16"/>
              </w:rPr>
              <w:t>Result</w:t>
            </w:r>
          </w:p>
        </w:tc>
      </w:tr>
      <w:tr>
        <w:tc>
          <w:tcPr>
            <w:tcW w:type="dxa" w:w="4320"/>
          </w:tcPr>
          <w:p>
            <w:r/>
            <w:r>
              <w:rPr>
                <w:sz w:val="16"/>
              </w:rPr>
              <w:t>Overdue task → escalate</w:t>
            </w:r>
          </w:p>
        </w:tc>
        <w:tc>
          <w:tcPr>
            <w:tcW w:type="dxa" w:w="5184"/>
            <w:shd w:val="clear" w:color="auto" w:fill="E5F2E9"/>
          </w:tcPr>
          <w:p>
            <w:r/>
            <w:r>
              <w:rPr>
                <w:sz w:val="16"/>
              </w:rPr>
              <w:t>Escalation 'user' task created for company_admin; original escalated_at set</w:t>
            </w:r>
          </w:p>
        </w:tc>
      </w:tr>
      <w:tr>
        <w:tc>
          <w:tcPr>
            <w:tcW w:type="dxa" w:w="4320"/>
            <w:shd w:val="clear" w:color="auto" w:fill="F2F4F8"/>
          </w:tcPr>
          <w:p>
            <w:r/>
            <w:r>
              <w:rPr>
                <w:sz w:val="16"/>
              </w:rPr>
              <w:t>Audit</w:t>
            </w:r>
          </w:p>
        </w:tc>
        <w:tc>
          <w:tcPr>
            <w:tcW w:type="dxa" w:w="5184"/>
            <w:shd w:val="clear" w:color="auto" w:fill="E5F2E9"/>
          </w:tcPr>
          <w:p>
            <w:r/>
            <w:r>
              <w:rPr>
                <w:sz w:val="16"/>
              </w:rPr>
              <w:t>erp_log_audit('escalate', 'workflow_task') row written</w:t>
            </w:r>
          </w:p>
        </w:tc>
      </w:tr>
      <w:tr>
        <w:tc>
          <w:tcPr>
            <w:tcW w:type="dxa" w:w="4320"/>
          </w:tcPr>
          <w:p>
            <w:r/>
            <w:r>
              <w:rPr>
                <w:sz w:val="16"/>
              </w:rPr>
              <w:t>Re-run (idempotent)</w:t>
            </w:r>
          </w:p>
        </w:tc>
        <w:tc>
          <w:tcPr>
            <w:tcW w:type="dxa" w:w="5184"/>
            <w:shd w:val="clear" w:color="auto" w:fill="E5F2E9"/>
          </w:tcPr>
          <w:p>
            <w:r/>
            <w:r>
              <w:rPr>
                <w:sz w:val="16"/>
              </w:rPr>
              <w:t>No duplicate escalation task</w:t>
            </w:r>
          </w:p>
        </w:tc>
      </w:tr>
    </w:tbl>
    <w:p>
      <w:pPr>
        <w:pStyle w:val="Heading2"/>
      </w:pPr>
      <w:r>
        <w:rPr>
          <w:b/>
          <w:color w:val="1B4F9E"/>
          <w:sz w:val="22"/>
        </w:rPr>
        <w:t>Rollback / risk</w:t>
      </w:r>
    </w:p>
    <w:p>
      <w:r>
        <w:rPr>
          <w:b w:val="0"/>
          <w:i w:val="0"/>
          <w:color w:val="1B7F3B"/>
          <w:sz w:val="20"/>
        </w:rPr>
        <w:t>Rollback: drop function (and unschedule the cron job). DORMANT until scheduled. Risk: LOW (new function, no live path touched, idempotent).</w:t>
      </w:r>
    </w:p>
    <w:p>
      <w:r>
        <w:br w:type="page"/>
      </w:r>
    </w:p>
    <w:p>
      <w:pPr>
        <w:pStyle w:val="Title"/>
      </w:pPr>
      <w:r>
        <w:rPr>
          <w:b/>
          <w:color w:val="1F2A44"/>
          <w:sz w:val="36"/>
        </w:rPr>
        <w:t>3 · Unified approval inbox (P3) — DESIGN</w:t>
      </w:r>
    </w:p>
    <w:p>
      <w:pPr>
        <w:pStyle w:val="Heading2"/>
      </w:pPr>
      <w:r>
        <w:rPr>
          <w:b/>
          <w:color w:val="1B4F9E"/>
          <w:sz w:val="22"/>
        </w:rPr>
        <w:t>Goal</w:t>
      </w:r>
    </w:p>
    <w:p>
      <w:r>
        <w:rPr>
          <w:b w:val="0"/>
          <w:i w:val="0"/>
          <w:color w:val="1A1A1A"/>
          <w:sz w:val="20"/>
        </w:rPr>
        <w:t>One Approval Queue for approvers: field approvals (day-close, visit, transfers…) AND engine workflow tasks (credit, trade-spend, price-change, change-requests) in a single, mobile-first list. Retire the duplicate Approval Center; remove the in-memory 2000-row scan.</w:t>
      </w:r>
    </w:p>
    <w:p>
      <w:pPr>
        <w:pStyle w:val="Heading2"/>
      </w:pPr>
      <w:r>
        <w:rPr>
          <w:b/>
          <w:color w:val="1B4F9E"/>
          <w:sz w:val="22"/>
        </w:rPr>
        <w:t>Design</w:t>
      </w:r>
    </w:p>
    <w:p>
      <w:pPr>
        <w:pStyle w:val="ListBullet"/>
      </w:pPr>
      <w:r>
        <w:rPr>
          <w:b w:val="0"/>
          <w:color w:val="1A1A1A"/>
          <w:sz w:val="18"/>
        </w:rPr>
        <w:t>New SQL function erp_workflow_my_tasks() (SECURITY DEFINER): returns the pending engine tasks the caller can act on, pushing the company_admin/user/role/permission predicate INTO SQL (indexed) instead of the current in-memory filter — the scalability fix.</w:t>
      </w:r>
    </w:p>
    <w:p>
      <w:pPr>
        <w:pStyle w:val="ListBullet"/>
      </w:pPr>
      <w:r>
        <w:rPr>
          <w:b w:val="0"/>
          <w:color w:val="1A1A1A"/>
          <w:sz w:val="18"/>
        </w:rPr>
        <w:t>The unified queue page reads (a) the existing field-queue items and (b) erp_workflow_my_tasks(), maps both to one ApprovalItem shape, and dispatches: field types → their existing actions; engine types → decideTask.</w:t>
      </w:r>
    </w:p>
    <w:p>
      <w:pPr>
        <w:pStyle w:val="ListBullet"/>
      </w:pPr>
      <w:r>
        <w:rPr>
          <w:b w:val="0"/>
          <w:color w:val="1A1A1A"/>
          <w:sz w:val="18"/>
        </w:rPr>
        <w:t>ApprovalsTabs + /approval-center retired behind a flag (KAKO_UNIFIED_INBOX); the field queue page becomes the single surface. /approvals (workflow inbox) kept as a redirect during transition.</w:t>
      </w:r>
    </w:p>
    <w:p>
      <w:pPr>
        <w:pStyle w:val="Heading2"/>
      </w:pPr>
      <w:r>
        <w:rPr>
          <w:b/>
          <w:color w:val="1B4F9E"/>
          <w:sz w:val="22"/>
        </w:rPr>
        <w:t>Tests / rollback / risk</w:t>
      </w:r>
    </w:p>
    <w:p>
      <w:r>
        <w:rPr>
          <w:b w:val="0"/>
          <w:i w:val="0"/>
          <w:color w:val="B46A00"/>
          <w:sz w:val="20"/>
        </w:rPr>
        <w:t>Tests: erp_my_tasks returns exactly actionable tasks per assignee type (unit on the SQL + a page-mapping test). Rollback: flag off restores the three-tab layout. Risk: MEDIUM (UX + a read-path change); no decision logic changes.</w:t>
      </w:r>
    </w:p>
    <w:p>
      <w:r>
        <w:br w:type="page"/>
      </w:r>
    </w:p>
    <w:p>
      <w:pPr>
        <w:pStyle w:val="Title"/>
      </w:pPr>
      <w:r>
        <w:rPr>
          <w:b/>
          <w:color w:val="1F2A44"/>
          <w:sz w:val="36"/>
        </w:rPr>
        <w:t>4 · Field-workflow migration plans (P2) — PLANNED</w:t>
      </w:r>
    </w:p>
    <w:p>
      <w:r>
        <w:rPr>
          <w:b/>
          <w:i w:val="0"/>
          <w:color w:val="1A1A1A"/>
          <w:sz w:val="20"/>
        </w:rPr>
        <w:t>All six follow ONE pattern and stay HIGH-RISK: each is feature-flagged (default OFF), keeps its existing RPC as the OUTCOME HANDLER (engine decides who/when; the proven RPC does what), and is validated on staging before any activation. The operational FMCG flows are NOT activated until after pilot validation. The engine instance becomes the single source of truth; the legacy direct path remains for flag-off.</w:t>
      </w:r>
    </w:p>
    <w:p>
      <w:pPr>
        <w:pStyle w:val="Heading2"/>
      </w:pPr>
      <w:r>
        <w:rPr>
          <w:b/>
          <w:color w:val="1B4F9E"/>
          <w:sz w:val="22"/>
        </w:rPr>
        <w:t>Common pattern</w:t>
      </w:r>
    </w:p>
    <w:p>
      <w:r>
        <w:rPr>
          <w:rFonts w:ascii="Consolas" w:hAnsi="Consolas"/>
          <w:color w:val="222222"/>
          <w:sz w:val="16"/>
        </w:rPr>
        <w:t>create action  ──▶  erp_workflow_start(key, entity, record_id, {branch_id, amount})</w:t>
      </w:r>
    </w:p>
    <w:p>
      <w:r>
        <w:rPr>
          <w:rFonts w:ascii="Consolas" w:hAnsi="Consolas"/>
          <w:color w:val="222222"/>
          <w:sz w:val="16"/>
        </w:rPr>
        <w:t>decision (inbox) ─▶  decideTask ─▶ erp_workflow_decide ─▶ applyWorkflowOutcome(entity)</w:t>
      </w:r>
    </w:p>
    <w:p>
      <w:r>
        <w:rPr>
          <w:rFonts w:ascii="Consolas" w:hAnsi="Consolas"/>
          <w:color w:val="222222"/>
          <w:sz w:val="16"/>
        </w:rPr>
        <w:t xml:space="preserve">                                            └─ handler calls the existing RPC (do the thing)</w:t>
      </w:r>
    </w:p>
    <w:p>
      <w:pPr>
        <w:pStyle w:val="Heading2"/>
      </w:pPr>
      <w:r>
        <w:rPr>
          <w:b/>
          <w:color w:val="1B4F9E"/>
          <w:sz w:val="22"/>
        </w:rPr>
        <w:t>4.1 Day-Close Exception</w:t>
      </w:r>
    </w:p>
    <w:tbl>
      <w:tblPr>
        <w:tblStyle w:val="TableGrid"/>
        <w:tblW w:type="auto" w:w="0"/>
        <w:jc w:val="center"/>
        <w:tblLook w:firstColumn="1" w:firstRow="1" w:lastColumn="0" w:lastRow="0" w:noHBand="0" w:noVBand="1" w:val="04A0"/>
      </w:tblPr>
      <w:tblGrid>
        <w:gridCol w:w="4320"/>
        <w:gridCol w:w="4320"/>
      </w:tblGrid>
      <w:tr>
        <w:tc>
          <w:tcPr>
            <w:tcW w:type="dxa" w:w="2016"/>
            <w:shd w:val="clear" w:color="auto" w:fill="1F2A44"/>
          </w:tcPr>
          <w:p>
            <w:r/>
            <w:r>
              <w:rPr>
                <w:b/>
                <w:color w:val="FFFFFF"/>
                <w:sz w:val="16"/>
              </w:rPr>
              <w:t>Aspect</w:t>
            </w:r>
          </w:p>
        </w:tc>
        <w:tc>
          <w:tcPr>
            <w:tcW w:type="dxa" w:w="7344"/>
            <w:shd w:val="clear" w:color="auto" w:fill="1F2A44"/>
          </w:tcPr>
          <w:p>
            <w:r/>
            <w:r>
              <w:rPr>
                <w:b/>
                <w:color w:val="FFFFFF"/>
                <w:sz w:val="16"/>
              </w:rPr>
              <w:t>Plan</w:t>
            </w:r>
          </w:p>
        </w:tc>
      </w:tr>
      <w:tr>
        <w:tc>
          <w:tcPr>
            <w:tcW w:type="dxa" w:w="2016"/>
          </w:tcPr>
          <w:p>
            <w:r/>
            <w:r>
              <w:rPr>
                <w:sz w:val="16"/>
              </w:rPr>
              <w:t>Design</w:t>
            </w:r>
          </w:p>
        </w:tc>
        <w:tc>
          <w:tcPr>
            <w:tcW w:type="dxa" w:w="7344"/>
          </w:tcPr>
          <w:p>
            <w:r/>
            <w:r>
              <w:rPr>
                <w:sz w:val="16"/>
              </w:rPr>
              <w:t>Definition day_close_approval / entity work_session; approver permission day.approve_close_exception; branch_scoped; flags on. Adds an explicit REJECT (today approve-only).</w:t>
            </w:r>
          </w:p>
        </w:tc>
      </w:tr>
      <w:tr>
        <w:tc>
          <w:tcPr>
            <w:tcW w:type="dxa" w:w="2016"/>
            <w:shd w:val="clear" w:color="auto" w:fill="F2F4F8"/>
          </w:tcPr>
          <w:p>
            <w:r/>
            <w:r>
              <w:rPr>
                <w:sz w:val="16"/>
              </w:rPr>
              <w:t>Implementation</w:t>
            </w:r>
          </w:p>
        </w:tc>
        <w:tc>
          <w:tcPr>
            <w:tcW w:type="dxa" w:w="7344"/>
            <w:shd w:val="clear" w:color="auto" w:fill="F2F4F8"/>
          </w:tcPr>
          <w:p>
            <w:r/>
            <w:r>
              <w:rPr>
                <w:sz w:val="16"/>
              </w:rPr>
              <w:t>closeDay (coverage &lt; threshold) → erp_workflow_start with {branch_id}. Handler work_session: approve→close_status='closed'; reject→'open' (re-openable). Flag KAKO_APPROVAL_DAYCLOSE; legacy approveDayClose kept.</w:t>
            </w:r>
          </w:p>
        </w:tc>
      </w:tr>
      <w:tr>
        <w:tc>
          <w:tcPr>
            <w:tcW w:type="dxa" w:w="2016"/>
          </w:tcPr>
          <w:p>
            <w:r/>
            <w:r>
              <w:rPr>
                <w:sz w:val="16"/>
              </w:rPr>
              <w:t>Tests</w:t>
            </w:r>
          </w:p>
        </w:tc>
        <w:tc>
          <w:tcPr>
            <w:tcW w:type="dxa" w:w="7344"/>
          </w:tcPr>
          <w:p>
            <w:r/>
            <w:r>
              <w:rPr>
                <w:sz w:val="16"/>
              </w:rPr>
              <w:t>Handler unit; staging: approve closes, reject reopens, self-approval block, branch-scoped to the rep's branch.</w:t>
            </w:r>
          </w:p>
        </w:tc>
      </w:tr>
      <w:tr>
        <w:tc>
          <w:tcPr>
            <w:tcW w:type="dxa" w:w="2016"/>
            <w:shd w:val="clear" w:color="auto" w:fill="F2F4F8"/>
          </w:tcPr>
          <w:p>
            <w:r/>
            <w:r>
              <w:rPr>
                <w:sz w:val="16"/>
              </w:rPr>
              <w:t>Rollback</w:t>
            </w:r>
          </w:p>
        </w:tc>
        <w:tc>
          <w:tcPr>
            <w:tcW w:type="dxa" w:w="7344"/>
            <w:shd w:val="clear" w:color="auto" w:fill="F2F4F8"/>
          </w:tcPr>
          <w:p>
            <w:r/>
            <w:r>
              <w:rPr>
                <w:sz w:val="16"/>
              </w:rPr>
              <w:t>Flag off → legacy approveDayClose; delete definition.</w:t>
            </w:r>
          </w:p>
        </w:tc>
      </w:tr>
    </w:tbl>
    <w:p>
      <w:r>
        <w:rPr>
          <w:b w:val="0"/>
          <w:i/>
          <w:color w:val="B46A00"/>
          <w:sz w:val="18"/>
        </w:rPr>
        <w:t>Risk: Medium — daily operational; flag-gated + reversible; pilot unaffected while off.</w:t>
      </w:r>
    </w:p>
    <w:p>
      <w:pPr>
        <w:pStyle w:val="Heading2"/>
      </w:pPr>
      <w:r>
        <w:rPr>
          <w:b/>
          <w:color w:val="1B4F9E"/>
          <w:sz w:val="22"/>
        </w:rPr>
        <w:t>4.2 Out-of-Route Visit</w:t>
      </w:r>
    </w:p>
    <w:tbl>
      <w:tblPr>
        <w:tblStyle w:val="TableGrid"/>
        <w:tblW w:type="auto" w:w="0"/>
        <w:jc w:val="center"/>
        <w:tblLook w:firstColumn="1" w:firstRow="1" w:lastColumn="0" w:lastRow="0" w:noHBand="0" w:noVBand="1" w:val="04A0"/>
      </w:tblPr>
      <w:tblGrid>
        <w:gridCol w:w="4320"/>
        <w:gridCol w:w="4320"/>
      </w:tblGrid>
      <w:tr>
        <w:tc>
          <w:tcPr>
            <w:tcW w:type="dxa" w:w="2016"/>
            <w:shd w:val="clear" w:color="auto" w:fill="1F2A44"/>
          </w:tcPr>
          <w:p>
            <w:r/>
            <w:r>
              <w:rPr>
                <w:b/>
                <w:color w:val="FFFFFF"/>
                <w:sz w:val="16"/>
              </w:rPr>
              <w:t>Aspect</w:t>
            </w:r>
          </w:p>
        </w:tc>
        <w:tc>
          <w:tcPr>
            <w:tcW w:type="dxa" w:w="7344"/>
            <w:shd w:val="clear" w:color="auto" w:fill="1F2A44"/>
          </w:tcPr>
          <w:p>
            <w:r/>
            <w:r>
              <w:rPr>
                <w:b/>
                <w:color w:val="FFFFFF"/>
                <w:sz w:val="16"/>
              </w:rPr>
              <w:t>Plan</w:t>
            </w:r>
          </w:p>
        </w:tc>
      </w:tr>
      <w:tr>
        <w:tc>
          <w:tcPr>
            <w:tcW w:type="dxa" w:w="2016"/>
          </w:tcPr>
          <w:p>
            <w:r/>
            <w:r>
              <w:rPr>
                <w:sz w:val="16"/>
              </w:rPr>
              <w:t>Design</w:t>
            </w:r>
          </w:p>
        </w:tc>
        <w:tc>
          <w:tcPr>
            <w:tcW w:type="dxa" w:w="7344"/>
          </w:tcPr>
          <w:p>
            <w:r/>
            <w:r>
              <w:rPr>
                <w:sz w:val="16"/>
              </w:rPr>
              <w:t>visit_compliance_approval / visit_compliance; permission visit.approve_out_of_route; branch_scoped; already approve+reject.</w:t>
            </w:r>
          </w:p>
        </w:tc>
      </w:tr>
      <w:tr>
        <w:tc>
          <w:tcPr>
            <w:tcW w:type="dxa" w:w="2016"/>
            <w:shd w:val="clear" w:color="auto" w:fill="F2F4F8"/>
          </w:tcPr>
          <w:p>
            <w:r/>
            <w:r>
              <w:rPr>
                <w:sz w:val="16"/>
              </w:rPr>
              <w:t>Implementation</w:t>
            </w:r>
          </w:p>
        </w:tc>
        <w:tc>
          <w:tcPr>
            <w:tcW w:type="dxa" w:w="7344"/>
            <w:shd w:val="clear" w:color="auto" w:fill="F2F4F8"/>
          </w:tcPr>
          <w:p>
            <w:r/>
            <w:r>
              <w:rPr>
                <w:sz w:val="16"/>
              </w:rPr>
              <w:t>erp_check_in_visit (off-route) → start. Handler sets status approved/rejected. Flag KAKO_APPROVAL_VISIT; legacy decideVisitCompliance kept.</w:t>
            </w:r>
          </w:p>
        </w:tc>
      </w:tr>
      <w:tr>
        <w:tc>
          <w:tcPr>
            <w:tcW w:type="dxa" w:w="2016"/>
          </w:tcPr>
          <w:p>
            <w:r/>
            <w:r>
              <w:rPr>
                <w:sz w:val="16"/>
              </w:rPr>
              <w:t>Tests</w:t>
            </w:r>
          </w:p>
        </w:tc>
        <w:tc>
          <w:tcPr>
            <w:tcW w:type="dxa" w:w="7344"/>
          </w:tcPr>
          <w:p>
            <w:r/>
            <w:r>
              <w:rPr>
                <w:sz w:val="16"/>
              </w:rPr>
              <w:t>Staging: off-route visit creates task to in-branch supervisor; approve/reject; reject-reason enforced.</w:t>
            </w:r>
          </w:p>
        </w:tc>
      </w:tr>
      <w:tr>
        <w:tc>
          <w:tcPr>
            <w:tcW w:type="dxa" w:w="2016"/>
            <w:shd w:val="clear" w:color="auto" w:fill="F2F4F8"/>
          </w:tcPr>
          <w:p>
            <w:r/>
            <w:r>
              <w:rPr>
                <w:sz w:val="16"/>
              </w:rPr>
              <w:t>Rollback</w:t>
            </w:r>
          </w:p>
        </w:tc>
        <w:tc>
          <w:tcPr>
            <w:tcW w:type="dxa" w:w="7344"/>
            <w:shd w:val="clear" w:color="auto" w:fill="F2F4F8"/>
          </w:tcPr>
          <w:p>
            <w:r/>
            <w:r>
              <w:rPr>
                <w:sz w:val="16"/>
              </w:rPr>
              <w:t>Flag off → legacy path; delete definition.</w:t>
            </w:r>
          </w:p>
        </w:tc>
      </w:tr>
    </w:tbl>
    <w:p>
      <w:r>
        <w:rPr>
          <w:b w:val="0"/>
          <w:i/>
          <w:color w:val="B46A00"/>
          <w:sz w:val="18"/>
        </w:rPr>
        <w:t>Risk: Medium — high volume; flag-gated; validate inbox load with erp_my_tasks first.</w:t>
      </w:r>
    </w:p>
    <w:p>
      <w:pPr>
        <w:pStyle w:val="Heading2"/>
      </w:pPr>
      <w:r>
        <w:rPr>
          <w:b/>
          <w:color w:val="1B4F9E"/>
          <w:sz w:val="22"/>
        </w:rPr>
        <w:t>4.3 Customer Transfer</w:t>
      </w:r>
    </w:p>
    <w:tbl>
      <w:tblPr>
        <w:tblStyle w:val="TableGrid"/>
        <w:tblW w:type="auto" w:w="0"/>
        <w:jc w:val="center"/>
        <w:tblLook w:firstColumn="1" w:firstRow="1" w:lastColumn="0" w:lastRow="0" w:noHBand="0" w:noVBand="1" w:val="04A0"/>
      </w:tblPr>
      <w:tblGrid>
        <w:gridCol w:w="4320"/>
        <w:gridCol w:w="4320"/>
      </w:tblGrid>
      <w:tr>
        <w:tc>
          <w:tcPr>
            <w:tcW w:type="dxa" w:w="2016"/>
            <w:shd w:val="clear" w:color="auto" w:fill="1F2A44"/>
          </w:tcPr>
          <w:p>
            <w:r/>
            <w:r>
              <w:rPr>
                <w:b/>
                <w:color w:val="FFFFFF"/>
                <w:sz w:val="16"/>
              </w:rPr>
              <w:t>Aspect</w:t>
            </w:r>
          </w:p>
        </w:tc>
        <w:tc>
          <w:tcPr>
            <w:tcW w:type="dxa" w:w="7344"/>
            <w:shd w:val="clear" w:color="auto" w:fill="1F2A44"/>
          </w:tcPr>
          <w:p>
            <w:r/>
            <w:r>
              <w:rPr>
                <w:b/>
                <w:color w:val="FFFFFF"/>
                <w:sz w:val="16"/>
              </w:rPr>
              <w:t>Plan</w:t>
            </w:r>
          </w:p>
        </w:tc>
      </w:tr>
      <w:tr>
        <w:tc>
          <w:tcPr>
            <w:tcW w:type="dxa" w:w="2016"/>
          </w:tcPr>
          <w:p>
            <w:r/>
            <w:r>
              <w:rPr>
                <w:sz w:val="16"/>
              </w:rPr>
              <w:t>Design</w:t>
            </w:r>
          </w:p>
        </w:tc>
        <w:tc>
          <w:tcPr>
            <w:tcW w:type="dxa" w:w="7344"/>
          </w:tcPr>
          <w:p>
            <w:r/>
            <w:r>
              <w:rPr>
                <w:sz w:val="16"/>
              </w:rPr>
              <w:t>customer_transfer_approval / customer_transfer; permission customer.transfer; branch_scoped (note: cross-branch transfer may route to BOTH branches — model as 2 levels). Adds explicit reject.</w:t>
            </w:r>
          </w:p>
        </w:tc>
      </w:tr>
      <w:tr>
        <w:tc>
          <w:tcPr>
            <w:tcW w:type="dxa" w:w="2016"/>
            <w:shd w:val="clear" w:color="auto" w:fill="F2F4F8"/>
          </w:tcPr>
          <w:p>
            <w:r/>
            <w:r>
              <w:rPr>
                <w:sz w:val="16"/>
              </w:rPr>
              <w:t>Implementation</w:t>
            </w:r>
          </w:p>
        </w:tc>
        <w:tc>
          <w:tcPr>
            <w:tcW w:type="dxa" w:w="7344"/>
            <w:shd w:val="clear" w:color="auto" w:fill="F2F4F8"/>
          </w:tcPr>
          <w:p>
            <w:r/>
            <w:r>
              <w:rPr>
                <w:sz w:val="16"/>
              </w:rPr>
              <w:t>transferCustomer(requireApproval) → start. Handler applies the transfer on approve / marks rejected. Flag KAKO_APPROVAL_CUSTTRANSFER; legacy approveCustomerTransfer kept.</w:t>
            </w:r>
          </w:p>
        </w:tc>
      </w:tr>
      <w:tr>
        <w:tc>
          <w:tcPr>
            <w:tcW w:type="dxa" w:w="2016"/>
          </w:tcPr>
          <w:p>
            <w:r/>
            <w:r>
              <w:rPr>
                <w:sz w:val="16"/>
              </w:rPr>
              <w:t>Tests</w:t>
            </w:r>
          </w:p>
        </w:tc>
        <w:tc>
          <w:tcPr>
            <w:tcW w:type="dxa" w:w="7344"/>
          </w:tcPr>
          <w:p>
            <w:r/>
            <w:r>
              <w:rPr>
                <w:sz w:val="16"/>
              </w:rPr>
              <w:t>Staging: pending→applied on approve; reject path; SoD (requester ≠ approver).</w:t>
            </w:r>
          </w:p>
        </w:tc>
      </w:tr>
      <w:tr>
        <w:tc>
          <w:tcPr>
            <w:tcW w:type="dxa" w:w="2016"/>
            <w:shd w:val="clear" w:color="auto" w:fill="F2F4F8"/>
          </w:tcPr>
          <w:p>
            <w:r/>
            <w:r>
              <w:rPr>
                <w:sz w:val="16"/>
              </w:rPr>
              <w:t>Rollback</w:t>
            </w:r>
          </w:p>
        </w:tc>
        <w:tc>
          <w:tcPr>
            <w:tcW w:type="dxa" w:w="7344"/>
            <w:shd w:val="clear" w:color="auto" w:fill="F2F4F8"/>
          </w:tcPr>
          <w:p>
            <w:r/>
            <w:r>
              <w:rPr>
                <w:sz w:val="16"/>
              </w:rPr>
              <w:t>Flag off → legacy; delete definition.</w:t>
            </w:r>
          </w:p>
        </w:tc>
      </w:tr>
    </w:tbl>
    <w:p>
      <w:r>
        <w:rPr>
          <w:b w:val="0"/>
          <w:i/>
          <w:color w:val="B46A00"/>
          <w:sz w:val="18"/>
        </w:rPr>
        <w:t>Risk: Medium — touches customer ownership; flag-gated + reversible.</w:t>
      </w:r>
    </w:p>
    <w:p>
      <w:pPr>
        <w:pStyle w:val="Heading2"/>
      </w:pPr>
      <w:r>
        <w:rPr>
          <w:b/>
          <w:color w:val="1B4F9E"/>
          <w:sz w:val="22"/>
        </w:rPr>
        <w:t>4.4 Load Request</w:t>
      </w:r>
    </w:p>
    <w:tbl>
      <w:tblPr>
        <w:tblStyle w:val="TableGrid"/>
        <w:tblW w:type="auto" w:w="0"/>
        <w:jc w:val="center"/>
        <w:tblLook w:firstColumn="1" w:firstRow="1" w:lastColumn="0" w:lastRow="0" w:noHBand="0" w:noVBand="1" w:val="04A0"/>
      </w:tblPr>
      <w:tblGrid>
        <w:gridCol w:w="4320"/>
        <w:gridCol w:w="4320"/>
      </w:tblGrid>
      <w:tr>
        <w:tc>
          <w:tcPr>
            <w:tcW w:type="dxa" w:w="2016"/>
            <w:shd w:val="clear" w:color="auto" w:fill="1F2A44"/>
          </w:tcPr>
          <w:p>
            <w:r/>
            <w:r>
              <w:rPr>
                <w:b/>
                <w:color w:val="FFFFFF"/>
                <w:sz w:val="16"/>
              </w:rPr>
              <w:t>Aspect</w:t>
            </w:r>
          </w:p>
        </w:tc>
        <w:tc>
          <w:tcPr>
            <w:tcW w:type="dxa" w:w="7344"/>
            <w:shd w:val="clear" w:color="auto" w:fill="1F2A44"/>
          </w:tcPr>
          <w:p>
            <w:r/>
            <w:r>
              <w:rPr>
                <w:b/>
                <w:color w:val="FFFFFF"/>
                <w:sz w:val="16"/>
              </w:rPr>
              <w:t>Plan</w:t>
            </w:r>
          </w:p>
        </w:tc>
      </w:tr>
      <w:tr>
        <w:tc>
          <w:tcPr>
            <w:tcW w:type="dxa" w:w="2016"/>
          </w:tcPr>
          <w:p>
            <w:r/>
            <w:r>
              <w:rPr>
                <w:sz w:val="16"/>
              </w:rPr>
              <w:t>Design</w:t>
            </w:r>
          </w:p>
        </w:tc>
        <w:tc>
          <w:tcPr>
            <w:tcW w:type="dxa" w:w="7344"/>
          </w:tcPr>
          <w:p>
            <w:r/>
            <w:r>
              <w:rPr>
                <w:sz w:val="16"/>
              </w:rPr>
              <w:t>stock_request_approval / stock_request; permission stock_request.approve; branch_scoped.</w:t>
            </w:r>
          </w:p>
        </w:tc>
      </w:tr>
      <w:tr>
        <w:tc>
          <w:tcPr>
            <w:tcW w:type="dxa" w:w="2016"/>
            <w:shd w:val="clear" w:color="auto" w:fill="F2F4F8"/>
          </w:tcPr>
          <w:p>
            <w:r/>
            <w:r>
              <w:rPr>
                <w:sz w:val="16"/>
              </w:rPr>
              <w:t>Implementation</w:t>
            </w:r>
          </w:p>
        </w:tc>
        <w:tc>
          <w:tcPr>
            <w:tcW w:type="dxa" w:w="7344"/>
            <w:shd w:val="clear" w:color="auto" w:fill="F2F4F8"/>
          </w:tcPr>
          <w:p>
            <w:r/>
            <w:r>
              <w:rPr>
                <w:sz w:val="16"/>
              </w:rPr>
              <w:t>createStockRequest → start. Handler calls existing erp_approve_stock_request / reject. Flag KAKO_APPROVAL_LOADREQ; legacy approve/reject kept.</w:t>
            </w:r>
          </w:p>
        </w:tc>
      </w:tr>
      <w:tr>
        <w:tc>
          <w:tcPr>
            <w:tcW w:type="dxa" w:w="2016"/>
          </w:tcPr>
          <w:p>
            <w:r/>
            <w:r>
              <w:rPr>
                <w:sz w:val="16"/>
              </w:rPr>
              <w:t>Tests</w:t>
            </w:r>
          </w:p>
        </w:tc>
        <w:tc>
          <w:tcPr>
            <w:tcW w:type="dxa" w:w="7344"/>
          </w:tcPr>
          <w:p>
            <w:r/>
            <w:r>
              <w:rPr>
                <w:sz w:val="16"/>
              </w:rPr>
              <w:t>Staging: request→approved/rejected via engine; in-branch warehouse approver.</w:t>
            </w:r>
          </w:p>
        </w:tc>
      </w:tr>
      <w:tr>
        <w:tc>
          <w:tcPr>
            <w:tcW w:type="dxa" w:w="2016"/>
            <w:shd w:val="clear" w:color="auto" w:fill="F2F4F8"/>
          </w:tcPr>
          <w:p>
            <w:r/>
            <w:r>
              <w:rPr>
                <w:sz w:val="16"/>
              </w:rPr>
              <w:t>Rollback</w:t>
            </w:r>
          </w:p>
        </w:tc>
        <w:tc>
          <w:tcPr>
            <w:tcW w:type="dxa" w:w="7344"/>
            <w:shd w:val="clear" w:color="auto" w:fill="F2F4F8"/>
          </w:tcPr>
          <w:p>
            <w:r/>
            <w:r>
              <w:rPr>
                <w:sz w:val="16"/>
              </w:rPr>
              <w:t>Flag off → legacy; delete definition.</w:t>
            </w:r>
          </w:p>
        </w:tc>
      </w:tr>
    </w:tbl>
    <w:p>
      <w:r>
        <w:rPr>
          <w:b w:val="0"/>
          <w:i/>
          <w:color w:val="B46A00"/>
          <w:sz w:val="18"/>
        </w:rPr>
        <w:t>Risk: Medium — stock to van; flag-gated.</w:t>
      </w:r>
    </w:p>
    <w:p>
      <w:pPr>
        <w:pStyle w:val="Heading2"/>
      </w:pPr>
      <w:r>
        <w:rPr>
          <w:b/>
          <w:color w:val="1B4F9E"/>
          <w:sz w:val="22"/>
        </w:rPr>
        <w:t>4.5 Van Transfer</w:t>
      </w:r>
    </w:p>
    <w:tbl>
      <w:tblPr>
        <w:tblStyle w:val="TableGrid"/>
        <w:tblW w:type="auto" w:w="0"/>
        <w:jc w:val="center"/>
        <w:tblLook w:firstColumn="1" w:firstRow="1" w:lastColumn="0" w:lastRow="0" w:noHBand="0" w:noVBand="1" w:val="04A0"/>
      </w:tblPr>
      <w:tblGrid>
        <w:gridCol w:w="4320"/>
        <w:gridCol w:w="4320"/>
      </w:tblGrid>
      <w:tr>
        <w:tc>
          <w:tcPr>
            <w:tcW w:type="dxa" w:w="2016"/>
            <w:shd w:val="clear" w:color="auto" w:fill="1F2A44"/>
          </w:tcPr>
          <w:p>
            <w:r/>
            <w:r>
              <w:rPr>
                <w:b/>
                <w:color w:val="FFFFFF"/>
                <w:sz w:val="16"/>
              </w:rPr>
              <w:t>Aspect</w:t>
            </w:r>
          </w:p>
        </w:tc>
        <w:tc>
          <w:tcPr>
            <w:tcW w:type="dxa" w:w="7344"/>
            <w:shd w:val="clear" w:color="auto" w:fill="1F2A44"/>
          </w:tcPr>
          <w:p>
            <w:r/>
            <w:r>
              <w:rPr>
                <w:b/>
                <w:color w:val="FFFFFF"/>
                <w:sz w:val="16"/>
              </w:rPr>
              <w:t>Plan</w:t>
            </w:r>
          </w:p>
        </w:tc>
      </w:tr>
      <w:tr>
        <w:tc>
          <w:tcPr>
            <w:tcW w:type="dxa" w:w="2016"/>
          </w:tcPr>
          <w:p>
            <w:r/>
            <w:r>
              <w:rPr>
                <w:sz w:val="16"/>
              </w:rPr>
              <w:t>Design</w:t>
            </w:r>
          </w:p>
        </w:tc>
        <w:tc>
          <w:tcPr>
            <w:tcW w:type="dxa" w:w="7344"/>
          </w:tcPr>
          <w:p>
            <w:r/>
            <w:r>
              <w:rPr>
                <w:sz w:val="16"/>
              </w:rPr>
              <w:t>van_transfer_approval / van_transfer; permission stock.transfer.approve; threshold (auto-approve below value KEPT; above → workflow).</w:t>
            </w:r>
          </w:p>
        </w:tc>
      </w:tr>
      <w:tr>
        <w:tc>
          <w:tcPr>
            <w:tcW w:type="dxa" w:w="2016"/>
            <w:shd w:val="clear" w:color="auto" w:fill="F2F4F8"/>
          </w:tcPr>
          <w:p>
            <w:r/>
            <w:r>
              <w:rPr>
                <w:sz w:val="16"/>
              </w:rPr>
              <w:t>Implementation</w:t>
            </w:r>
          </w:p>
        </w:tc>
        <w:tc>
          <w:tcPr>
            <w:tcW w:type="dxa" w:w="7344"/>
            <w:shd w:val="clear" w:color="auto" w:fill="F2F4F8"/>
          </w:tcPr>
          <w:p>
            <w:r/>
            <w:r>
              <w:rPr>
                <w:sz w:val="16"/>
              </w:rPr>
              <w:t>requestVanTransfer (above threshold) → start. Handler calls erp_approve_van_transfer / erp_reject_van_transfer. Flag KAKO_APPROVAL_VANTRANSFER; auto + legacy paths kept.</w:t>
            </w:r>
          </w:p>
        </w:tc>
      </w:tr>
      <w:tr>
        <w:tc>
          <w:tcPr>
            <w:tcW w:type="dxa" w:w="2016"/>
          </w:tcPr>
          <w:p>
            <w:r/>
            <w:r>
              <w:rPr>
                <w:sz w:val="16"/>
              </w:rPr>
              <w:t>Tests</w:t>
            </w:r>
          </w:p>
        </w:tc>
        <w:tc>
          <w:tcPr>
            <w:tcW w:type="dxa" w:w="7344"/>
          </w:tcPr>
          <w:p>
            <w:r/>
            <w:r>
              <w:rPr>
                <w:sz w:val="16"/>
              </w:rPr>
              <w:t>Staging: below-threshold auto still works; above routes to engine; approve completes stock move; reject reason.</w:t>
            </w:r>
          </w:p>
        </w:tc>
      </w:tr>
      <w:tr>
        <w:tc>
          <w:tcPr>
            <w:tcW w:type="dxa" w:w="2016"/>
            <w:shd w:val="clear" w:color="auto" w:fill="F2F4F8"/>
          </w:tcPr>
          <w:p>
            <w:r/>
            <w:r>
              <w:rPr>
                <w:sz w:val="16"/>
              </w:rPr>
              <w:t>Rollback</w:t>
            </w:r>
          </w:p>
        </w:tc>
        <w:tc>
          <w:tcPr>
            <w:tcW w:type="dxa" w:w="7344"/>
            <w:shd w:val="clear" w:color="auto" w:fill="F2F4F8"/>
          </w:tcPr>
          <w:p>
            <w:r/>
            <w:r>
              <w:rPr>
                <w:sz w:val="16"/>
              </w:rPr>
              <w:t>Flag off → legacy; delete definition.</w:t>
            </w:r>
          </w:p>
        </w:tc>
      </w:tr>
    </w:tbl>
    <w:p>
      <w:r>
        <w:rPr>
          <w:b w:val="0"/>
          <w:i/>
          <w:color w:val="B46A00"/>
          <w:sz w:val="18"/>
        </w:rPr>
        <w:t>Risk: Medium-High — moves stock; preserve the auto-approve threshold; staging-validate stock conservation.</w:t>
      </w:r>
    </w:p>
    <w:p>
      <w:pPr>
        <w:pStyle w:val="Heading2"/>
      </w:pPr>
      <w:r>
        <w:rPr>
          <w:b/>
          <w:color w:val="1B4F9E"/>
          <w:sz w:val="22"/>
        </w:rPr>
        <w:t>4.6 Van Reconciliation</w:t>
      </w:r>
    </w:p>
    <w:tbl>
      <w:tblPr>
        <w:tblStyle w:val="TableGrid"/>
        <w:tblW w:type="auto" w:w="0"/>
        <w:jc w:val="center"/>
        <w:tblLook w:firstColumn="1" w:firstRow="1" w:lastColumn="0" w:lastRow="0" w:noHBand="0" w:noVBand="1" w:val="04A0"/>
      </w:tblPr>
      <w:tblGrid>
        <w:gridCol w:w="4320"/>
        <w:gridCol w:w="4320"/>
      </w:tblGrid>
      <w:tr>
        <w:tc>
          <w:tcPr>
            <w:tcW w:type="dxa" w:w="2016"/>
            <w:shd w:val="clear" w:color="auto" w:fill="1F2A44"/>
          </w:tcPr>
          <w:p>
            <w:r/>
            <w:r>
              <w:rPr>
                <w:b/>
                <w:color w:val="FFFFFF"/>
                <w:sz w:val="16"/>
              </w:rPr>
              <w:t>Aspect</w:t>
            </w:r>
          </w:p>
        </w:tc>
        <w:tc>
          <w:tcPr>
            <w:tcW w:type="dxa" w:w="7344"/>
            <w:shd w:val="clear" w:color="auto" w:fill="1F2A44"/>
          </w:tcPr>
          <w:p>
            <w:r/>
            <w:r>
              <w:rPr>
                <w:b/>
                <w:color w:val="FFFFFF"/>
                <w:sz w:val="16"/>
              </w:rPr>
              <w:t>Plan</w:t>
            </w:r>
          </w:p>
        </w:tc>
      </w:tr>
      <w:tr>
        <w:tc>
          <w:tcPr>
            <w:tcW w:type="dxa" w:w="2016"/>
          </w:tcPr>
          <w:p>
            <w:r/>
            <w:r>
              <w:rPr>
                <w:sz w:val="16"/>
              </w:rPr>
              <w:t>Design</w:t>
            </w:r>
          </w:p>
        </w:tc>
        <w:tc>
          <w:tcPr>
            <w:tcW w:type="dxa" w:w="7344"/>
          </w:tcPr>
          <w:p>
            <w:r/>
            <w:r>
              <w:rPr>
                <w:sz w:val="16"/>
              </w:rPr>
              <w:t>van_reconciliation_approval / van_reconciliation; permission reconciliation.approve; threshold on variance.</w:t>
            </w:r>
          </w:p>
        </w:tc>
      </w:tr>
      <w:tr>
        <w:tc>
          <w:tcPr>
            <w:tcW w:type="dxa" w:w="2016"/>
            <w:shd w:val="clear" w:color="auto" w:fill="F2F4F8"/>
          </w:tcPr>
          <w:p>
            <w:r/>
            <w:r>
              <w:rPr>
                <w:sz w:val="16"/>
              </w:rPr>
              <w:t>Implementation</w:t>
            </w:r>
          </w:p>
        </w:tc>
        <w:tc>
          <w:tcPr>
            <w:tcW w:type="dxa" w:w="7344"/>
            <w:shd w:val="clear" w:color="auto" w:fill="F2F4F8"/>
          </w:tcPr>
          <w:p>
            <w:r/>
            <w:r>
              <w:rPr>
                <w:sz w:val="16"/>
              </w:rPr>
              <w:t>erp_compute_van_reconciliation (variance &gt; threshold) → start. Handler calls erp_settle / erp_reject_van_reconciliation. Flag KAKO_APPROVAL_VANRECON; legacy kept.</w:t>
            </w:r>
          </w:p>
        </w:tc>
      </w:tr>
      <w:tr>
        <w:tc>
          <w:tcPr>
            <w:tcW w:type="dxa" w:w="2016"/>
          </w:tcPr>
          <w:p>
            <w:r/>
            <w:r>
              <w:rPr>
                <w:sz w:val="16"/>
              </w:rPr>
              <w:t>Tests</w:t>
            </w:r>
          </w:p>
        </w:tc>
        <w:tc>
          <w:tcPr>
            <w:tcW w:type="dxa" w:w="7344"/>
          </w:tcPr>
          <w:p>
            <w:r/>
            <w:r>
              <w:rPr>
                <w:sz w:val="16"/>
              </w:rPr>
              <w:t>Staging: under-variance auto-settle unchanged; over-variance routes; settle/reject via engine; audit + balance checks.</w:t>
            </w:r>
          </w:p>
        </w:tc>
      </w:tr>
      <w:tr>
        <w:tc>
          <w:tcPr>
            <w:tcW w:type="dxa" w:w="2016"/>
            <w:shd w:val="clear" w:color="auto" w:fill="F2F4F8"/>
          </w:tcPr>
          <w:p>
            <w:r/>
            <w:r>
              <w:rPr>
                <w:sz w:val="16"/>
              </w:rPr>
              <w:t>Rollback</w:t>
            </w:r>
          </w:p>
        </w:tc>
        <w:tc>
          <w:tcPr>
            <w:tcW w:type="dxa" w:w="7344"/>
            <w:shd w:val="clear" w:color="auto" w:fill="F2F4F8"/>
          </w:tcPr>
          <w:p>
            <w:r/>
            <w:r>
              <w:rPr>
                <w:sz w:val="16"/>
              </w:rPr>
              <w:t>Flag off → legacy; delete definition.</w:t>
            </w:r>
          </w:p>
        </w:tc>
      </w:tr>
    </w:tbl>
    <w:p>
      <w:r>
        <w:rPr>
          <w:b w:val="0"/>
          <w:i/>
          <w:color w:val="B46A00"/>
          <w:sz w:val="18"/>
        </w:rPr>
        <w:t>Risk: Medium-High — financial variance; flag-gated; validate settlement amounts on staging.</w:t>
      </w:r>
    </w:p>
    <w:p>
      <w:r>
        <w:br w:type="page"/>
      </w:r>
    </w:p>
    <w:p>
      <w:pPr>
        <w:pStyle w:val="Title"/>
      </w:pPr>
      <w:r>
        <w:rPr>
          <w:b/>
          <w:color w:val="1F2A44"/>
          <w:sz w:val="36"/>
        </w:rPr>
        <w:t>5 · Sequencing &amp; guardrails</w:t>
      </w:r>
    </w:p>
    <w:p>
      <w:pPr>
        <w:pStyle w:val="ListBullet"/>
      </w:pPr>
      <w:r>
        <w:rPr>
          <w:b w:val="0"/>
          <w:color w:val="1A1A1A"/>
          <w:sz w:val="18"/>
        </w:rPr>
        <w:t>Build order next: P3 unified inbox (so all migrated approvals have one home), then P2 one workflow at a time, lowest-risk first (Load Request, Day-Close → Visit → Customer Transfer → Van Transfer → Van Reconciliation).</w:t>
      </w:r>
    </w:p>
    <w:p>
      <w:pPr>
        <w:pStyle w:val="ListBullet"/>
      </w:pPr>
      <w:r>
        <w:rPr>
          <w:b w:val="0"/>
          <w:color w:val="1A1A1A"/>
          <w:sz w:val="18"/>
        </w:rPr>
        <w:t>Each P2 workflow: ship flagged OFF + staging-validated; activate only after pilot sign-off on the prior one.</w:t>
      </w:r>
    </w:p>
    <w:p>
      <w:pPr>
        <w:pStyle w:val="ListBullet"/>
      </w:pPr>
      <w:r>
        <w:rPr>
          <w:b w:val="0"/>
          <w:color w:val="1B7F3B"/>
          <w:sz w:val="18"/>
        </w:rPr>
        <w:t>Pilot stability: every operational flow keeps its legacy path while its flag is OFF. Nothing activates without staging validation. All steps reversible by flag.</w:t>
      </w:r>
    </w:p>
    <w:p>
      <w:r>
        <w:rPr>
          <w:b/>
          <w:i w:val="0"/>
          <w:color w:val="1F2A44"/>
          <w:sz w:val="20"/>
        </w:rPr>
        <w:t>No destructive change, production risk, or architectural conflict was encountered in this phase — branch scope and escalation are additive supersets, validated and dormant. Proceeding to P3 next.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