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2A44"/>
          <w:sz w:val="60"/>
        </w:rPr>
        <w:t>VANTORA Business OS</w:t>
      </w:r>
    </w:p>
    <w:p>
      <w:pPr>
        <w:jc w:val="center"/>
      </w:pPr>
      <w:r>
        <w:rPr>
          <w:color w:val="555555"/>
          <w:sz w:val="30"/>
        </w:rPr>
        <w:t>Investor Readiness Assessment &amp; Executive Due-Diligence Report</w:t>
      </w:r>
    </w:p>
    <w:p>
      <w:pPr>
        <w:jc w:val="center"/>
      </w:pPr>
      <w:r>
        <w:rPr>
          <w:i/>
          <w:color w:val="555555"/>
          <w:sz w:val="21"/>
        </w:rPr>
        <w:t>Evidence-based · Independent technical assessment · Board-level review</w:t>
      </w:r>
    </w:p>
    <w:p/>
    <w:p/>
    <w:p>
      <w:pPr>
        <w:jc w:val="center"/>
      </w:pPr>
      <w:r>
        <w:rPr>
          <w:color w:val="555555"/>
          <w:sz w:val="18"/>
        </w:rPr>
        <w:t>Date: 13 June 2026   ·   Environment: vantora-staging   ·   Scope: platform, database, deployment, pilot validation</w:t>
      </w:r>
    </w:p>
    <w:p>
      <w:pPr>
        <w:jc w:val="center"/>
      </w:pPr>
      <w:r>
        <w:rPr>
          <w:color w:val="555555"/>
          <w:sz w:val="18"/>
        </w:rPr>
        <w:t>Prepared for: Investors · Strategic Partners · Distribution &amp; FMCG Executives · VC Review Committees</w:t>
      </w:r>
    </w:p>
    <w:p>
      <w:pPr>
        <w:jc w:val="center"/>
      </w:pPr>
      <w:r>
        <w:rPr>
          <w:i/>
          <w:color w:val="B31B1B"/>
          <w:sz w:val="17"/>
        </w:rPr>
        <w:t>CONFIDENTIAL — assessment derived from the actual running system; no marketing content.</w:t>
      </w:r>
    </w:p>
    <w:p>
      <w:r>
        <w:br w:type="page"/>
      </w:r>
    </w:p>
    <w:p>
      <w:pPr>
        <w:pStyle w:val="Heading1"/>
      </w:pPr>
      <w:r>
        <w:rPr>
          <w:b/>
          <w:color w:val="1F2A44"/>
          <w:sz w:val="30"/>
        </w:rPr>
        <w:t>Section 1 — Executive Summary</w:t>
      </w:r>
    </w:p>
    <w:p>
      <w:r>
        <w:rPr>
          <w:b w:val="0"/>
          <w:i w:val="0"/>
          <w:color w:val="1A1A1A"/>
          <w:sz w:val="20"/>
        </w:rPr>
        <w:t>VANTORA is a multi-tenant Business Operating System (ERP + industry packs) built on Next.js and Supabase PostgreSQL, with row-level-security tenant isolation, a 90-permission RBAC model, feature-flag configurability, and an audit-first design. The codebase is substantial and well-structured (278 tenant tables in staging, 1,314 automated tests passing, ~163 navigable screens across 18 functional areas). It is functionally rich and architecturally coherent. It is NOT yet production-hardened: validation to date is on demo tenants in a single staging environment, and the current deployment topology is fragile (documented and partially remediated in this review).</w:t>
      </w:r>
    </w:p>
    <w:p>
      <w:r>
        <w:rPr>
          <w:b/>
          <w:i w:val="0"/>
          <w:color w:val="1A1A1A"/>
          <w:sz w:val="20"/>
        </w:rPr>
        <w:t>Readiness scorecard (traffic-light):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shd w:val="clear" w:color="auto" w:fill="1F2A44"/>
          </w:tcPr>
          <w:p>
            <w:r/>
            <w:r>
              <w:rPr>
                <w:rFonts w:ascii="Calibri" w:hAnsi="Calibri"/>
                <w:b/>
                <w:color w:val="FFFFFF"/>
                <w:sz w:val="17"/>
              </w:rPr>
              <w:t>Dimension</w:t>
            </w:r>
          </w:p>
        </w:tc>
        <w:tc>
          <w:tcPr>
            <w:tcW w:type="dxa" w:w="1008"/>
            <w:shd w:val="clear" w:color="auto" w:fill="1F2A44"/>
          </w:tcPr>
          <w:p>
            <w:r/>
            <w:r>
              <w:rPr>
                <w:rFonts w:ascii="Calibri" w:hAnsi="Calibri"/>
                <w:b/>
                <w:color w:val="FFFFFF"/>
                <w:sz w:val="17"/>
              </w:rPr>
              <w:t>Score</w:t>
            </w:r>
          </w:p>
        </w:tc>
        <w:tc>
          <w:tcPr>
            <w:tcW w:type="dxa" w:w="1152"/>
            <w:shd w:val="clear" w:color="auto" w:fill="1F2A44"/>
          </w:tcPr>
          <w:p>
            <w:r/>
            <w:r>
              <w:rPr>
                <w:rFonts w:ascii="Calibri" w:hAnsi="Calibri"/>
                <w:b/>
                <w:color w:val="FFFFFF"/>
                <w:sz w:val="17"/>
              </w:rPr>
              <w:t>Rating</w:t>
            </w:r>
          </w:p>
        </w:tc>
        <w:tc>
          <w:tcPr>
            <w:tcW w:type="dxa" w:w="5040"/>
            <w:shd w:val="clear" w:color="auto" w:fill="1F2A44"/>
          </w:tcPr>
          <w:p>
            <w:r/>
            <w:r>
              <w:rPr>
                <w:rFonts w:ascii="Calibri" w:hAnsi="Calibri"/>
                <w:b/>
                <w:color w:val="FFFFFF"/>
                <w:sz w:val="17"/>
              </w:rPr>
              <w:t>Basis (evidence)</w:t>
            </w:r>
          </w:p>
        </w:tc>
      </w:tr>
      <w:tr>
        <w:tc>
          <w:tcPr>
            <w:tcW w:type="dxa" w:w="3168"/>
          </w:tcPr>
          <w:p>
            <w:r/>
            <w:r>
              <w:rPr>
                <w:rFonts w:ascii="Calibri" w:hAnsi="Calibri"/>
                <w:b w:val="0"/>
                <w:sz w:val="17"/>
              </w:rPr>
              <w:t>Overall platform readiness</w:t>
            </w:r>
          </w:p>
        </w:tc>
        <w:tc>
          <w:tcPr>
            <w:tcW w:type="dxa" w:w="1008"/>
          </w:tcPr>
          <w:p>
            <w:r/>
            <w:r>
              <w:rPr>
                <w:rFonts w:ascii="Calibri" w:hAnsi="Calibri"/>
                <w:b w:val="0"/>
                <w:sz w:val="17"/>
              </w:rPr>
              <w:t>68%</w:t>
            </w:r>
          </w:p>
        </w:tc>
        <w:tc>
          <w:tcPr>
            <w:tcW w:type="dxa" w:w="1152"/>
            <w:shd w:val="clear" w:color="auto" w:fill="FBF1DD"/>
          </w:tcPr>
          <w:p>
            <w:r/>
            <w:r>
              <w:rPr>
                <w:rFonts w:ascii="Calibri" w:hAnsi="Calibri"/>
                <w:b w:val="0"/>
                <w:sz w:val="17"/>
              </w:rPr>
              <w:t>Yellow</w:t>
            </w:r>
          </w:p>
        </w:tc>
        <w:tc>
          <w:tcPr>
            <w:tcW w:type="dxa" w:w="5040"/>
          </w:tcPr>
          <w:p>
            <w:r/>
            <w:r>
              <w:rPr>
                <w:rFonts w:ascii="Calibri" w:hAnsi="Calibri"/>
                <w:b w:val="0"/>
                <w:sz w:val="17"/>
              </w:rPr>
              <w:t>Rich feature set + sound architecture; single environment, demo-only data, deployment fragility</w:t>
            </w:r>
          </w:p>
        </w:tc>
      </w:tr>
      <w:tr>
        <w:tc>
          <w:tcPr>
            <w:tcW w:type="dxa" w:w="3168"/>
            <w:shd w:val="clear" w:color="auto" w:fill="F2F4F8"/>
          </w:tcPr>
          <w:p>
            <w:r/>
            <w:r>
              <w:rPr>
                <w:rFonts w:ascii="Calibri" w:hAnsi="Calibri"/>
                <w:b w:val="0"/>
                <w:sz w:val="17"/>
              </w:rPr>
              <w:t>FMCG pilot readiness</w:t>
            </w:r>
          </w:p>
        </w:tc>
        <w:tc>
          <w:tcPr>
            <w:tcW w:type="dxa" w:w="1008"/>
            <w:shd w:val="clear" w:color="auto" w:fill="F2F4F8"/>
          </w:tcPr>
          <w:p>
            <w:r/>
            <w:r>
              <w:rPr>
                <w:rFonts w:ascii="Calibri" w:hAnsi="Calibri"/>
                <w:b w:val="0"/>
                <w:sz w:val="17"/>
              </w:rPr>
              <w:t>80%</w:t>
            </w:r>
          </w:p>
        </w:tc>
        <w:tc>
          <w:tcPr>
            <w:tcW w:type="dxa" w:w="1152"/>
            <w:shd w:val="clear" w:color="auto" w:fill="FBF1DD"/>
          </w:tcPr>
          <w:p>
            <w:r/>
            <w:r>
              <w:rPr>
                <w:rFonts w:ascii="Calibri" w:hAnsi="Calibri"/>
                <w:b w:val="0"/>
                <w:sz w:val="17"/>
              </w:rPr>
              <w:t>Yellow</w:t>
            </w:r>
          </w:p>
        </w:tc>
        <w:tc>
          <w:tcPr>
            <w:tcW w:type="dxa" w:w="5040"/>
            <w:shd w:val="clear" w:color="auto" w:fill="F2F4F8"/>
          </w:tcPr>
          <w:p>
            <w:r/>
            <w:r>
              <w:rPr>
                <w:rFonts w:ascii="Calibri" w:hAnsi="Calibri"/>
                <w:b w:val="0"/>
                <w:sz w:val="17"/>
              </w:rPr>
              <w:t>Engine modules implemented + cut over to vantora-staging; pending env-flag activation + 7-role validation</w:t>
            </w:r>
          </w:p>
        </w:tc>
      </w:tr>
      <w:tr>
        <w:tc>
          <w:tcPr>
            <w:tcW w:type="dxa" w:w="3168"/>
          </w:tcPr>
          <w:p>
            <w:r/>
            <w:r>
              <w:rPr>
                <w:rFonts w:ascii="Calibri" w:hAnsi="Calibri"/>
                <w:b w:val="0"/>
                <w:sz w:val="17"/>
              </w:rPr>
              <w:t>SaaS readiness</w:t>
            </w:r>
          </w:p>
        </w:tc>
        <w:tc>
          <w:tcPr>
            <w:tcW w:type="dxa" w:w="1008"/>
          </w:tcPr>
          <w:p>
            <w:r/>
            <w:r>
              <w:rPr>
                <w:rFonts w:ascii="Calibri" w:hAnsi="Calibri"/>
                <w:b w:val="0"/>
                <w:sz w:val="17"/>
              </w:rPr>
              <w:t>65%</w:t>
            </w:r>
          </w:p>
        </w:tc>
        <w:tc>
          <w:tcPr>
            <w:tcW w:type="dxa" w:w="1152"/>
            <w:shd w:val="clear" w:color="auto" w:fill="FBF1DD"/>
          </w:tcPr>
          <w:p>
            <w:r/>
            <w:r>
              <w:rPr>
                <w:rFonts w:ascii="Calibri" w:hAnsi="Calibri"/>
                <w:b w:val="0"/>
                <w:sz w:val="17"/>
              </w:rPr>
              <w:t>Yellow</w:t>
            </w:r>
          </w:p>
        </w:tc>
        <w:tc>
          <w:tcPr>
            <w:tcW w:type="dxa" w:w="5040"/>
          </w:tcPr>
          <w:p>
            <w:r/>
            <w:r>
              <w:rPr>
                <w:rFonts w:ascii="Calibri" w:hAnsi="Calibri"/>
                <w:b w:val="0"/>
                <w:sz w:val="17"/>
              </w:rPr>
              <w:t>Strong multi-tenant/RLS/flags/permissions; billing, onboarding &amp; ops maturity unproven at scale</w:t>
            </w:r>
          </w:p>
        </w:tc>
      </w:tr>
      <w:tr>
        <w:tc>
          <w:tcPr>
            <w:tcW w:type="dxa" w:w="3168"/>
            <w:shd w:val="clear" w:color="auto" w:fill="F2F4F8"/>
          </w:tcPr>
          <w:p>
            <w:r/>
            <w:r>
              <w:rPr>
                <w:rFonts w:ascii="Calibri" w:hAnsi="Calibri"/>
                <w:b w:val="0"/>
                <w:sz w:val="17"/>
              </w:rPr>
              <w:t>Production readiness</w:t>
            </w:r>
          </w:p>
        </w:tc>
        <w:tc>
          <w:tcPr>
            <w:tcW w:type="dxa" w:w="1008"/>
            <w:shd w:val="clear" w:color="auto" w:fill="F2F4F8"/>
          </w:tcPr>
          <w:p>
            <w:r/>
            <w:r>
              <w:rPr>
                <w:rFonts w:ascii="Calibri" w:hAnsi="Calibri"/>
                <w:b w:val="0"/>
                <w:sz w:val="17"/>
              </w:rPr>
              <w:t>45%</w:t>
            </w:r>
          </w:p>
        </w:tc>
        <w:tc>
          <w:tcPr>
            <w:tcW w:type="dxa" w:w="1152"/>
            <w:shd w:val="clear" w:color="auto" w:fill="F8E3E3"/>
          </w:tcPr>
          <w:p>
            <w:r/>
            <w:r>
              <w:rPr>
                <w:rFonts w:ascii="Calibri" w:hAnsi="Calibri"/>
                <w:b w:val="0"/>
                <w:sz w:val="17"/>
              </w:rPr>
              <w:t>Red</w:t>
            </w:r>
          </w:p>
        </w:tc>
        <w:tc>
          <w:tcPr>
            <w:tcW w:type="dxa" w:w="5040"/>
            <w:shd w:val="clear" w:color="auto" w:fill="F2F4F8"/>
          </w:tcPr>
          <w:p>
            <w:r/>
            <w:r>
              <w:rPr>
                <w:rFonts w:ascii="Calibri" w:hAnsi="Calibri"/>
                <w:b w:val="0"/>
                <w:sz w:val="17"/>
              </w:rPr>
              <w:t>Prod URL still on wrong project/branch; no real prod data; demo passwords; no fail-fast config; single region</w:t>
            </w:r>
          </w:p>
        </w:tc>
      </w:tr>
    </w:tbl>
    <w:p>
      <w:r>
        <w:rPr>
          <w:b/>
          <w:i w:val="0"/>
          <w:color w:val="1A1A1A"/>
          <w:sz w:val="20"/>
        </w:rPr>
        <w:t>Key findings:</w:t>
      </w:r>
    </w:p>
    <w:p>
      <w:pPr>
        <w:pStyle w:val="ListBullet"/>
      </w:pPr>
      <w:r>
        <w:rPr>
          <w:b w:val="0"/>
          <w:color w:val="1A1A1A"/>
          <w:sz w:val="19"/>
        </w:rPr>
        <w:t>Architecture is a genuine strength: true multi-tenancy (RLS + SECURITY DEFINER RPCs), a mature 90-permission model with company-level overrides, feature-flag packs, and audit logging — the right foundations for SaaS.</w:t>
      </w:r>
    </w:p>
    <w:p>
      <w:pPr>
        <w:pStyle w:val="ListBullet"/>
      </w:pPr>
      <w:r>
        <w:rPr>
          <w:b w:val="0"/>
          <w:color w:val="1A1A1A"/>
          <w:sz w:val="19"/>
        </w:rPr>
        <w:t>Breadth is real: core ERP (sales, invoicing, collections, inventory, returns, purchasing, accounting, CRM) plus a complete pharmacy pack (11 milestones, data-proven) and an FMCG distribution suite (route management, van sales, trade spend, merchandising, change requests, alerts).</w:t>
      </w:r>
    </w:p>
    <w:p>
      <w:pPr>
        <w:pStyle w:val="ListBullet"/>
      </w:pPr>
      <w:r>
        <w:rPr>
          <w:b w:val="0"/>
          <w:color w:val="1A1A1A"/>
          <w:sz w:val="19"/>
        </w:rPr>
        <w:t>Validation is shallow: exercised on 3 demo tenants (Nile FMCG, Amty Pharmacy, City Care) in one staging project; no production traffic, scale, or third-party security testing.</w:t>
      </w:r>
    </w:p>
    <w:p>
      <w:pPr>
        <w:pStyle w:val="ListBullet"/>
      </w:pPr>
      <w:r>
        <w:rPr>
          <w:b w:val="0"/>
          <w:color w:val="1A1A1A"/>
          <w:sz w:val="19"/>
        </w:rPr>
        <w:t>Operational fragility surfaced and was partly remediated during this review: a hard-coded Supabase fallback silently routed the app to the wrong database; engine screens are gated behind un-set environment flags; one tenant-type value crashed the platform dashboard (fixed).</w:t>
      </w:r>
    </w:p>
    <w:p>
      <w:r>
        <w:rPr>
          <w:b/>
          <w:i w:val="0"/>
          <w:color w:val="1A1A1A"/>
          <w:sz w:val="20"/>
        </w:rPr>
        <w:t>Key risks:</w:t>
      </w:r>
    </w:p>
    <w:p>
      <w:pPr>
        <w:pStyle w:val="ListBullet"/>
      </w:pPr>
      <w:r>
        <w:rPr>
          <w:b w:val="0"/>
          <w:color w:val="1A1A1A"/>
          <w:sz w:val="19"/>
        </w:rPr>
        <w:t>Deployment/config fragility (Critical) — environment targeting depends on correctly-set env vars; misconfig fails silently.</w:t>
      </w:r>
    </w:p>
    <w:p>
      <w:pPr>
        <w:pStyle w:val="ListBullet"/>
      </w:pPr>
      <w:r>
        <w:rPr>
          <w:b w:val="0"/>
          <w:color w:val="1A1A1A"/>
          <w:sz w:val="19"/>
        </w:rPr>
        <w:t>Single environment &amp; demo-only data (Major) — production behaviour, performance and data-migration are unproven.</w:t>
      </w:r>
    </w:p>
    <w:p>
      <w:pPr>
        <w:pStyle w:val="ListBullet"/>
      </w:pPr>
      <w:r>
        <w:rPr>
          <w:b w:val="0"/>
          <w:color w:val="1A1A1A"/>
          <w:sz w:val="19"/>
        </w:rPr>
        <w:t>Security hardening (Major) — shared demo password across users, deployment protection still gating external testers, no external pen-test.</w:t>
      </w:r>
    </w:p>
    <w:p>
      <w:r>
        <w:rPr>
          <w:b/>
          <w:i w:val="0"/>
          <w:color w:val="1F2A44"/>
          <w:sz w:val="20"/>
        </w:rPr>
        <w:t>Recommendation:</w:t>
      </w:r>
    </w:p>
    <w:p>
      <w:r>
        <w:rPr>
          <w:b w:val="0"/>
          <w:i w:val="0"/>
          <w:color w:val="1A1A1A"/>
          <w:sz w:val="20"/>
        </w:rPr>
        <w:t>CONDITIONAL GO for a controlled FMCG pilot on the staging (preview) environment once the engine flags are activated and the 7-role validation passes. NOT yet ready for commercial production launch. Investable as an early-stage, architecture-strong asset with a credible FMCG/distribution wedge — conditional on the hardening plan in Sections 10–11.</w:t>
      </w:r>
    </w:p>
    <w:p>
      <w:r>
        <w:br w:type="page"/>
      </w:r>
    </w:p>
    <w:p>
      <w:pPr>
        <w:pStyle w:val="Heading1"/>
      </w:pPr>
      <w:r>
        <w:rPr>
          <w:b/>
          <w:color w:val="1F2A44"/>
          <w:sz w:val="30"/>
        </w:rPr>
        <w:t>Section 2 — Platform Overview</w:t>
      </w:r>
    </w:p>
    <w:p>
      <w:r>
        <w:rPr>
          <w:b/>
          <w:i w:val="0"/>
          <w:color w:val="1A1A1A"/>
          <w:sz w:val="20"/>
        </w:rPr>
        <w:t>What VANTORA is:</w:t>
      </w:r>
    </w:p>
    <w:p>
      <w:r>
        <w:rPr>
          <w:b w:val="0"/>
          <w:i w:val="0"/>
          <w:color w:val="1A1A1A"/>
          <w:sz w:val="20"/>
        </w:rPr>
        <w:t>A Business Operating System: a single multi-tenant platform that delivers core ERP plus industry-specific 'packs' (pharmacy, FMCG distribution, clinic, restaurant, salon, hotel, laundry, fashion retail, wholesale, electrical). Each tenant ('company') runs on shared infrastructure with its own isolated data, role model, enabled modules and feature flags — configured rather than custom-coded.</w:t>
      </w:r>
    </w:p>
    <w:p>
      <w:r>
        <w:rPr>
          <w:b/>
          <w:i w:val="0"/>
          <w:color w:val="1A1A1A"/>
          <w:sz w:val="20"/>
        </w:rPr>
        <w:t>Business Operating System concept:</w:t>
      </w:r>
    </w:p>
    <w:p>
      <w:r>
        <w:rPr>
          <w:b w:val="0"/>
          <w:i w:val="0"/>
          <w:color w:val="1A1A1A"/>
          <w:sz w:val="20"/>
        </w:rPr>
        <w:t>Instead of stitching together separate POS, accounting, inventory and field-sales tools, a company picks a business type and a tier (e.g. Pharmacy Lite/Standard/Enterprise); the platform then exposes only the relevant screens, permissions and workflows. 'Powerful backend, simple frontend' — every capability is flag-gated end-to-end.</w:t>
      </w:r>
    </w:p>
    <w:p>
      <w:r>
        <w:rPr>
          <w:b/>
          <w:i w:val="0"/>
          <w:color w:val="1A1A1A"/>
          <w:sz w:val="20"/>
        </w:rPr>
        <w:t>Multi-tenant architecture (layered view):</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1F2A44"/>
          </w:tcPr>
          <w:p>
            <w:r/>
            <w:r>
              <w:rPr>
                <w:rFonts w:ascii="Calibri" w:hAnsi="Calibri"/>
                <w:b/>
                <w:color w:val="FFFFFF"/>
                <w:sz w:val="17"/>
              </w:rPr>
              <w:t>Layer</w:t>
            </w:r>
          </w:p>
        </w:tc>
        <w:tc>
          <w:tcPr>
            <w:tcW w:type="dxa" w:w="7920"/>
            <w:shd w:val="clear" w:color="auto" w:fill="1F2A44"/>
          </w:tcPr>
          <w:p>
            <w:r/>
            <w:r>
              <w:rPr>
                <w:rFonts w:ascii="Calibri" w:hAnsi="Calibri"/>
                <w:b/>
                <w:color w:val="FFFFFF"/>
                <w:sz w:val="17"/>
              </w:rPr>
              <w:t>Technology / mechanism</w:t>
            </w:r>
          </w:p>
        </w:tc>
      </w:tr>
      <w:tr>
        <w:tc>
          <w:tcPr>
            <w:tcW w:type="dxa" w:w="2448"/>
          </w:tcPr>
          <w:p>
            <w:r/>
            <w:r>
              <w:rPr>
                <w:rFonts w:ascii="Calibri" w:hAnsi="Calibri"/>
                <w:b w:val="0"/>
                <w:sz w:val="17"/>
              </w:rPr>
              <w:t>Client</w:t>
            </w:r>
          </w:p>
        </w:tc>
        <w:tc>
          <w:tcPr>
            <w:tcW w:type="dxa" w:w="7920"/>
          </w:tcPr>
          <w:p>
            <w:r/>
            <w:r>
              <w:rPr>
                <w:rFonts w:ascii="Calibri" w:hAnsi="Calibri"/>
                <w:b w:val="0"/>
                <w:sz w:val="17"/>
              </w:rPr>
              <w:t>Responsive web (desktop + mobile web), Arabic/English RTL, mobile bottom-nav + drawer</w:t>
            </w:r>
          </w:p>
        </w:tc>
      </w:tr>
      <w:tr>
        <w:tc>
          <w:tcPr>
            <w:tcW w:type="dxa" w:w="2448"/>
            <w:shd w:val="clear" w:color="auto" w:fill="F2F4F8"/>
          </w:tcPr>
          <w:p>
            <w:r/>
            <w:r>
              <w:rPr>
                <w:rFonts w:ascii="Calibri" w:hAnsi="Calibri"/>
                <w:b w:val="0"/>
                <w:sz w:val="17"/>
              </w:rPr>
              <w:t>Application</w:t>
            </w:r>
          </w:p>
        </w:tc>
        <w:tc>
          <w:tcPr>
            <w:tcW w:type="dxa" w:w="7920"/>
            <w:shd w:val="clear" w:color="auto" w:fill="F2F4F8"/>
          </w:tcPr>
          <w:p>
            <w:r/>
            <w:r>
              <w:rPr>
                <w:rFonts w:ascii="Calibri" w:hAnsi="Calibri"/>
                <w:b w:val="0"/>
                <w:sz w:val="17"/>
              </w:rPr>
              <w:t>Next.js 15 (App Router, React 19) on Vercel — server components + server actions</w:t>
            </w:r>
          </w:p>
        </w:tc>
      </w:tr>
      <w:tr>
        <w:tc>
          <w:tcPr>
            <w:tcW w:type="dxa" w:w="2448"/>
          </w:tcPr>
          <w:p>
            <w:r/>
            <w:r>
              <w:rPr>
                <w:rFonts w:ascii="Calibri" w:hAnsi="Calibri"/>
                <w:b w:val="0"/>
                <w:sz w:val="17"/>
              </w:rPr>
              <w:t>Access control</w:t>
            </w:r>
          </w:p>
        </w:tc>
        <w:tc>
          <w:tcPr>
            <w:tcW w:type="dxa" w:w="7920"/>
          </w:tcPr>
          <w:p>
            <w:r/>
            <w:r>
              <w:rPr>
                <w:rFonts w:ascii="Calibri" w:hAnsi="Calibri"/>
                <w:b w:val="0"/>
                <w:sz w:val="17"/>
              </w:rPr>
              <w:t>RBAC (90 permissions) + per-company overrides; nav + screen + server-action gating; feature flags</w:t>
            </w:r>
          </w:p>
        </w:tc>
      </w:tr>
      <w:tr>
        <w:tc>
          <w:tcPr>
            <w:tcW w:type="dxa" w:w="2448"/>
            <w:shd w:val="clear" w:color="auto" w:fill="F2F4F8"/>
          </w:tcPr>
          <w:p>
            <w:r/>
            <w:r>
              <w:rPr>
                <w:rFonts w:ascii="Calibri" w:hAnsi="Calibri"/>
                <w:b w:val="0"/>
                <w:sz w:val="17"/>
              </w:rPr>
              <w:t>Data</w:t>
            </w:r>
          </w:p>
        </w:tc>
        <w:tc>
          <w:tcPr>
            <w:tcW w:type="dxa" w:w="7920"/>
            <w:shd w:val="clear" w:color="auto" w:fill="F2F4F8"/>
          </w:tcPr>
          <w:p>
            <w:r/>
            <w:r>
              <w:rPr>
                <w:rFonts w:ascii="Calibri" w:hAnsi="Calibri"/>
                <w:b w:val="0"/>
                <w:sz w:val="17"/>
              </w:rPr>
              <w:t>Supabase PostgreSQL — Row-Level Security per company; SECURITY DEFINER RPCs for privileged ops</w:t>
            </w:r>
          </w:p>
        </w:tc>
      </w:tr>
      <w:tr>
        <w:tc>
          <w:tcPr>
            <w:tcW w:type="dxa" w:w="2448"/>
          </w:tcPr>
          <w:p>
            <w:r/>
            <w:r>
              <w:rPr>
                <w:rFonts w:ascii="Calibri" w:hAnsi="Calibri"/>
                <w:b w:val="0"/>
                <w:sz w:val="17"/>
              </w:rPr>
              <w:t>Auth</w:t>
            </w:r>
          </w:p>
        </w:tc>
        <w:tc>
          <w:tcPr>
            <w:tcW w:type="dxa" w:w="7920"/>
          </w:tcPr>
          <w:p>
            <w:r/>
            <w:r>
              <w:rPr>
                <w:rFonts w:ascii="Calibri" w:hAnsi="Calibri"/>
                <w:b w:val="0"/>
                <w:sz w:val="17"/>
              </w:rPr>
              <w:t>Supabase GoTrue (email/password, JWT sessions); platform-owner / super-admin / tenant roles</w:t>
            </w:r>
          </w:p>
        </w:tc>
      </w:tr>
      <w:tr>
        <w:tc>
          <w:tcPr>
            <w:tcW w:type="dxa" w:w="2448"/>
            <w:shd w:val="clear" w:color="auto" w:fill="F2F4F8"/>
          </w:tcPr>
          <w:p>
            <w:r/>
            <w:r>
              <w:rPr>
                <w:rFonts w:ascii="Calibri" w:hAnsi="Calibri"/>
                <w:b w:val="0"/>
                <w:sz w:val="17"/>
              </w:rPr>
              <w:t>Audit &amp; workflow</w:t>
            </w:r>
          </w:p>
        </w:tc>
        <w:tc>
          <w:tcPr>
            <w:tcW w:type="dxa" w:w="7920"/>
            <w:shd w:val="clear" w:color="auto" w:fill="F2F4F8"/>
          </w:tcPr>
          <w:p>
            <w:r/>
            <w:r>
              <w:rPr>
                <w:rFonts w:ascii="Calibri" w:hAnsi="Calibri"/>
                <w:b w:val="0"/>
                <w:sz w:val="17"/>
              </w:rPr>
              <w:t>Audit log on every privileged action; workflow definitions/instances/tasks engine</w:t>
            </w:r>
          </w:p>
        </w:tc>
      </w:tr>
    </w:tbl>
    <w:p>
      <w:r>
        <w:rPr>
          <w:b w:val="0"/>
          <w:i w:val="0"/>
          <w:color w:val="1A1A1A"/>
          <w:sz w:val="19"/>
        </w:rPr>
        <w:t>Supported industries (packs present in code): FMCG/Distribution, Pharmacy, Clinic, Restaurant/Café, Salon, Hotel, Laundry, Fashion retail, Supermarket/Market, Wholesale, Electrical/Electronics — plus generic ERP for any business.</w:t>
      </w:r>
    </w:p>
    <w:p>
      <w:r>
        <w:rPr>
          <w:b w:val="0"/>
          <w:i w:val="0"/>
          <w:color w:val="1A1A1A"/>
          <w:sz w:val="19"/>
        </w:rPr>
        <w:t>Long-term vision: a configurable, vertical-aware operating system for emerging-market SMEs and distributors, monetised as tiered SaaS with industry packs and an integration marketplace.</w:t>
      </w:r>
    </w:p>
    <w:p>
      <w:r>
        <w:br w:type="page"/>
      </w:r>
    </w:p>
    <w:p>
      <w:pPr>
        <w:pStyle w:val="Heading1"/>
      </w:pPr>
      <w:r>
        <w:rPr>
          <w:b/>
          <w:color w:val="1F2A44"/>
          <w:sz w:val="30"/>
        </w:rPr>
        <w:t>Section 3 — Technical Architecture Review</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2A44"/>
          </w:tcPr>
          <w:p>
            <w:r/>
            <w:r>
              <w:rPr>
                <w:rFonts w:ascii="Calibri" w:hAnsi="Calibri"/>
                <w:b/>
                <w:color w:val="FFFFFF"/>
                <w:sz w:val="17"/>
              </w:rPr>
              <w:t>Area</w:t>
            </w:r>
          </w:p>
        </w:tc>
        <w:tc>
          <w:tcPr>
            <w:tcW w:type="dxa" w:w="4320"/>
            <w:shd w:val="clear" w:color="auto" w:fill="1F2A44"/>
          </w:tcPr>
          <w:p>
            <w:r/>
            <w:r>
              <w:rPr>
                <w:rFonts w:ascii="Calibri" w:hAnsi="Calibri"/>
                <w:b/>
                <w:color w:val="FFFFFF"/>
                <w:sz w:val="17"/>
              </w:rPr>
              <w:t>Assessment</w:t>
            </w:r>
          </w:p>
        </w:tc>
        <w:tc>
          <w:tcPr>
            <w:tcW w:type="dxa" w:w="3888"/>
            <w:shd w:val="clear" w:color="auto" w:fill="1F2A44"/>
          </w:tcPr>
          <w:p>
            <w:r/>
            <w:r>
              <w:rPr>
                <w:rFonts w:ascii="Calibri" w:hAnsi="Calibri"/>
                <w:b/>
                <w:color w:val="FFFFFF"/>
                <w:sz w:val="17"/>
              </w:rPr>
              <w:t>Strength / Weakness</w:t>
            </w:r>
          </w:p>
        </w:tc>
      </w:tr>
      <w:tr>
        <w:tc>
          <w:tcPr>
            <w:tcW w:type="dxa" w:w="2160"/>
          </w:tcPr>
          <w:p>
            <w:r/>
            <w:r>
              <w:rPr>
                <w:rFonts w:ascii="Calibri" w:hAnsi="Calibri"/>
                <w:b w:val="0"/>
                <w:sz w:val="17"/>
              </w:rPr>
              <w:t>Frontend</w:t>
            </w:r>
          </w:p>
        </w:tc>
        <w:tc>
          <w:tcPr>
            <w:tcW w:type="dxa" w:w="4320"/>
          </w:tcPr>
          <w:p>
            <w:r/>
            <w:r>
              <w:rPr>
                <w:rFonts w:ascii="Calibri" w:hAnsi="Calibri"/>
                <w:b w:val="0"/>
                <w:sz w:val="17"/>
              </w:rPr>
              <w:t>Next.js 15 / React 19, server-first, i18n (ar/en RTL), responsive + mobile nav</w:t>
            </w:r>
          </w:p>
        </w:tc>
        <w:tc>
          <w:tcPr>
            <w:tcW w:type="dxa" w:w="3888"/>
          </w:tcPr>
          <w:p>
            <w:r/>
            <w:r>
              <w:rPr>
                <w:rFonts w:ascii="Calibri" w:hAnsi="Calibri"/>
                <w:b w:val="0"/>
                <w:sz w:val="17"/>
              </w:rPr>
              <w:t>Strength: modern, fast, consistent UI. Weakness: validated on web; no native app</w:t>
            </w:r>
          </w:p>
        </w:tc>
      </w:tr>
      <w:tr>
        <w:tc>
          <w:tcPr>
            <w:tcW w:type="dxa" w:w="2160"/>
            <w:shd w:val="clear" w:color="auto" w:fill="F2F4F8"/>
          </w:tcPr>
          <w:p>
            <w:r/>
            <w:r>
              <w:rPr>
                <w:rFonts w:ascii="Calibri" w:hAnsi="Calibri"/>
                <w:b w:val="0"/>
                <w:sz w:val="17"/>
              </w:rPr>
              <w:t>Backend</w:t>
            </w:r>
          </w:p>
        </w:tc>
        <w:tc>
          <w:tcPr>
            <w:tcW w:type="dxa" w:w="4320"/>
            <w:shd w:val="clear" w:color="auto" w:fill="F2F4F8"/>
          </w:tcPr>
          <w:p>
            <w:r/>
            <w:r>
              <w:rPr>
                <w:rFonts w:ascii="Calibri" w:hAnsi="Calibri"/>
                <w:b w:val="0"/>
                <w:sz w:val="17"/>
              </w:rPr>
              <w:t>Server actions + RPCs; 'use server' modules; event producer hooks</w:t>
            </w:r>
          </w:p>
        </w:tc>
        <w:tc>
          <w:tcPr>
            <w:tcW w:type="dxa" w:w="3888"/>
            <w:shd w:val="clear" w:color="auto" w:fill="F2F4F8"/>
          </w:tcPr>
          <w:p>
            <w:r/>
            <w:r>
              <w:rPr>
                <w:rFonts w:ascii="Calibri" w:hAnsi="Calibri"/>
                <w:b w:val="0"/>
                <w:sz w:val="17"/>
              </w:rPr>
              <w:t>Strength: cohesive, typed. Weakness: some logic in best-effort post-steps (not transactional)</w:t>
            </w:r>
          </w:p>
        </w:tc>
      </w:tr>
      <w:tr>
        <w:tc>
          <w:tcPr>
            <w:tcW w:type="dxa" w:w="2160"/>
          </w:tcPr>
          <w:p>
            <w:r/>
            <w:r>
              <w:rPr>
                <w:rFonts w:ascii="Calibri" w:hAnsi="Calibri"/>
                <w:b w:val="0"/>
                <w:sz w:val="17"/>
              </w:rPr>
              <w:t>Database</w:t>
            </w:r>
          </w:p>
        </w:tc>
        <w:tc>
          <w:tcPr>
            <w:tcW w:type="dxa" w:w="4320"/>
          </w:tcPr>
          <w:p>
            <w:r/>
            <w:r>
              <w:rPr>
                <w:rFonts w:ascii="Calibri" w:hAnsi="Calibri"/>
                <w:b w:val="0"/>
                <w:sz w:val="17"/>
              </w:rPr>
              <w:t>PostgreSQL (Supabase), 278 tenant tables, numbered migrations</w:t>
            </w:r>
          </w:p>
        </w:tc>
        <w:tc>
          <w:tcPr>
            <w:tcW w:type="dxa" w:w="3888"/>
          </w:tcPr>
          <w:p>
            <w:r/>
            <w:r>
              <w:rPr>
                <w:rFonts w:ascii="Calibri" w:hAnsi="Calibri"/>
                <w:b w:val="0"/>
                <w:sz w:val="17"/>
              </w:rPr>
              <w:t>Strength: rich, normalized schema. Weakness: schema drift across environments observed</w:t>
            </w:r>
          </w:p>
        </w:tc>
      </w:tr>
      <w:tr>
        <w:tc>
          <w:tcPr>
            <w:tcW w:type="dxa" w:w="2160"/>
            <w:shd w:val="clear" w:color="auto" w:fill="F2F4F8"/>
          </w:tcPr>
          <w:p>
            <w:r/>
            <w:r>
              <w:rPr>
                <w:rFonts w:ascii="Calibri" w:hAnsi="Calibri"/>
                <w:b w:val="0"/>
                <w:sz w:val="17"/>
              </w:rPr>
              <w:t>Multi-tenancy</w:t>
            </w:r>
          </w:p>
        </w:tc>
        <w:tc>
          <w:tcPr>
            <w:tcW w:type="dxa" w:w="4320"/>
            <w:shd w:val="clear" w:color="auto" w:fill="F2F4F8"/>
          </w:tcPr>
          <w:p>
            <w:r/>
            <w:r>
              <w:rPr>
                <w:rFonts w:ascii="Calibri" w:hAnsi="Calibri"/>
                <w:b w:val="0"/>
                <w:sz w:val="17"/>
              </w:rPr>
              <w:t>Company-scoped RLS on tenant tables; company_id everywhere</w:t>
            </w:r>
          </w:p>
        </w:tc>
        <w:tc>
          <w:tcPr>
            <w:tcW w:type="dxa" w:w="3888"/>
            <w:shd w:val="clear" w:color="auto" w:fill="F2F4F8"/>
          </w:tcPr>
          <w:p>
            <w:r/>
            <w:r>
              <w:rPr>
                <w:rFonts w:ascii="Calibri" w:hAnsi="Calibri"/>
                <w:b w:val="0"/>
                <w:sz w:val="17"/>
              </w:rPr>
              <w:t>Strength: real isolation, not app-only. Weakness: relies on disciplined RLS coverage</w:t>
            </w:r>
          </w:p>
        </w:tc>
      </w:tr>
      <w:tr>
        <w:tc>
          <w:tcPr>
            <w:tcW w:type="dxa" w:w="2160"/>
          </w:tcPr>
          <w:p>
            <w:r/>
            <w:r>
              <w:rPr>
                <w:rFonts w:ascii="Calibri" w:hAnsi="Calibri"/>
                <w:b w:val="0"/>
                <w:sz w:val="17"/>
              </w:rPr>
              <w:t>RLS</w:t>
            </w:r>
          </w:p>
        </w:tc>
        <w:tc>
          <w:tcPr>
            <w:tcW w:type="dxa" w:w="4320"/>
          </w:tcPr>
          <w:p>
            <w:r/>
            <w:r>
              <w:rPr>
                <w:rFonts w:ascii="Calibri" w:hAnsi="Calibri"/>
                <w:b w:val="0"/>
                <w:sz w:val="17"/>
              </w:rPr>
              <w:t>Tenant policies + erp_user_company_id(); platform-owner bypass</w:t>
            </w:r>
          </w:p>
        </w:tc>
        <w:tc>
          <w:tcPr>
            <w:tcW w:type="dxa" w:w="3888"/>
          </w:tcPr>
          <w:p>
            <w:r/>
            <w:r>
              <w:rPr>
                <w:rFonts w:ascii="Calibri" w:hAnsi="Calibri"/>
                <w:b w:val="0"/>
                <w:sz w:val="17"/>
              </w:rPr>
              <w:t>Strength: enforced at DB. Weakness: needs periodic policy audit at scale</w:t>
            </w:r>
          </w:p>
        </w:tc>
      </w:tr>
      <w:tr>
        <w:tc>
          <w:tcPr>
            <w:tcW w:type="dxa" w:w="2160"/>
            <w:shd w:val="clear" w:color="auto" w:fill="F2F4F8"/>
          </w:tcPr>
          <w:p>
            <w:r/>
            <w:r>
              <w:rPr>
                <w:rFonts w:ascii="Calibri" w:hAnsi="Calibri"/>
                <w:b w:val="0"/>
                <w:sz w:val="17"/>
              </w:rPr>
              <w:t>Authentication</w:t>
            </w:r>
          </w:p>
        </w:tc>
        <w:tc>
          <w:tcPr>
            <w:tcW w:type="dxa" w:w="4320"/>
            <w:shd w:val="clear" w:color="auto" w:fill="F2F4F8"/>
          </w:tcPr>
          <w:p>
            <w:r/>
            <w:r>
              <w:rPr>
                <w:rFonts w:ascii="Calibri" w:hAnsi="Calibri"/>
                <w:b w:val="0"/>
                <w:sz w:val="17"/>
              </w:rPr>
              <w:t>Supabase GoTrue, JWT, email-confirmed accounts</w:t>
            </w:r>
          </w:p>
        </w:tc>
        <w:tc>
          <w:tcPr>
            <w:tcW w:type="dxa" w:w="3888"/>
            <w:shd w:val="clear" w:color="auto" w:fill="F2F4F8"/>
          </w:tcPr>
          <w:p>
            <w:r/>
            <w:r>
              <w:rPr>
                <w:rFonts w:ascii="Calibri" w:hAnsi="Calibri"/>
                <w:b w:val="0"/>
                <w:sz w:val="17"/>
              </w:rPr>
              <w:t>Strength: standard, secure. Weakness: no SSO/MFA; demo passwords shared</w:t>
            </w:r>
          </w:p>
        </w:tc>
      </w:tr>
      <w:tr>
        <w:tc>
          <w:tcPr>
            <w:tcW w:type="dxa" w:w="2160"/>
          </w:tcPr>
          <w:p>
            <w:r/>
            <w:r>
              <w:rPr>
                <w:rFonts w:ascii="Calibri" w:hAnsi="Calibri"/>
                <w:b w:val="0"/>
                <w:sz w:val="17"/>
              </w:rPr>
              <w:t>Authorization</w:t>
            </w:r>
          </w:p>
        </w:tc>
        <w:tc>
          <w:tcPr>
            <w:tcW w:type="dxa" w:w="4320"/>
          </w:tcPr>
          <w:p>
            <w:r/>
            <w:r>
              <w:rPr>
                <w:rFonts w:ascii="Calibri" w:hAnsi="Calibri"/>
                <w:b w:val="0"/>
                <w:sz w:val="17"/>
              </w:rPr>
              <w:t>90 permissions, company overrides, temp-access grants; server-enforced (91/91 action files)</w:t>
            </w:r>
          </w:p>
        </w:tc>
        <w:tc>
          <w:tcPr>
            <w:tcW w:type="dxa" w:w="3888"/>
          </w:tcPr>
          <w:p>
            <w:r/>
            <w:r>
              <w:rPr>
                <w:rFonts w:ascii="Calibri" w:hAnsi="Calibri"/>
                <w:b w:val="0"/>
                <w:sz w:val="17"/>
              </w:rPr>
              <w:t>Strength: defense-in-depth, not nav-only. Weakness: a legacy entitlement registry has dead keys</w:t>
            </w:r>
          </w:p>
        </w:tc>
      </w:tr>
      <w:tr>
        <w:tc>
          <w:tcPr>
            <w:tcW w:type="dxa" w:w="2160"/>
            <w:shd w:val="clear" w:color="auto" w:fill="F2F4F8"/>
          </w:tcPr>
          <w:p>
            <w:r/>
            <w:r>
              <w:rPr>
                <w:rFonts w:ascii="Calibri" w:hAnsi="Calibri"/>
                <w:b w:val="0"/>
                <w:sz w:val="17"/>
              </w:rPr>
              <w:t>Audit logs</w:t>
            </w:r>
          </w:p>
        </w:tc>
        <w:tc>
          <w:tcPr>
            <w:tcW w:type="dxa" w:w="4320"/>
            <w:shd w:val="clear" w:color="auto" w:fill="F2F4F8"/>
          </w:tcPr>
          <w:p>
            <w:r/>
            <w:r>
              <w:rPr>
                <w:rFonts w:ascii="Calibri" w:hAnsi="Calibri"/>
                <w:b w:val="0"/>
                <w:sz w:val="17"/>
              </w:rPr>
              <w:t>erp_audit_logs on privileged actions; platform audit view</w:t>
            </w:r>
          </w:p>
        </w:tc>
        <w:tc>
          <w:tcPr>
            <w:tcW w:type="dxa" w:w="3888"/>
            <w:shd w:val="clear" w:color="auto" w:fill="F2F4F8"/>
          </w:tcPr>
          <w:p>
            <w:r/>
            <w:r>
              <w:rPr>
                <w:rFonts w:ascii="Calibri" w:hAnsi="Calibri"/>
                <w:b w:val="0"/>
                <w:sz w:val="17"/>
              </w:rPr>
              <w:t>Strength: audit-first. Weakness: retention/SIEM integration not defined</w:t>
            </w:r>
          </w:p>
        </w:tc>
      </w:tr>
      <w:tr>
        <w:tc>
          <w:tcPr>
            <w:tcW w:type="dxa" w:w="2160"/>
          </w:tcPr>
          <w:p>
            <w:r/>
            <w:r>
              <w:rPr>
                <w:rFonts w:ascii="Calibri" w:hAnsi="Calibri"/>
                <w:b w:val="0"/>
                <w:sz w:val="17"/>
              </w:rPr>
              <w:t>Workflow engine</w:t>
            </w:r>
          </w:p>
        </w:tc>
        <w:tc>
          <w:tcPr>
            <w:tcW w:type="dxa" w:w="4320"/>
          </w:tcPr>
          <w:p>
            <w:r/>
            <w:r>
              <w:rPr>
                <w:rFonts w:ascii="Calibri" w:hAnsi="Calibri"/>
                <w:b w:val="0"/>
                <w:sz w:val="17"/>
              </w:rPr>
              <w:t>definitions/instances/steps/tasks tables + approval routing</w:t>
            </w:r>
          </w:p>
        </w:tc>
        <w:tc>
          <w:tcPr>
            <w:tcW w:type="dxa" w:w="3888"/>
          </w:tcPr>
          <w:p>
            <w:r/>
            <w:r>
              <w:rPr>
                <w:rFonts w:ascii="Calibri" w:hAnsi="Calibri"/>
                <w:b w:val="0"/>
                <w:sz w:val="17"/>
              </w:rPr>
              <w:t>Strength: present and generic. Weakness: lightly exercised; flag-gated</w:t>
            </w:r>
          </w:p>
        </w:tc>
      </w:tr>
      <w:tr>
        <w:tc>
          <w:tcPr>
            <w:tcW w:type="dxa" w:w="2160"/>
            <w:shd w:val="clear" w:color="auto" w:fill="F2F4F8"/>
          </w:tcPr>
          <w:p>
            <w:r/>
            <w:r>
              <w:rPr>
                <w:rFonts w:ascii="Calibri" w:hAnsi="Calibri"/>
                <w:b w:val="0"/>
                <w:sz w:val="17"/>
              </w:rPr>
              <w:t>Reporting</w:t>
            </w:r>
          </w:p>
        </w:tc>
        <w:tc>
          <w:tcPr>
            <w:tcW w:type="dxa" w:w="4320"/>
            <w:shd w:val="clear" w:color="auto" w:fill="F2F4F8"/>
          </w:tcPr>
          <w:p>
            <w:r/>
            <w:r>
              <w:rPr>
                <w:rFonts w:ascii="Calibri" w:hAnsi="Calibri"/>
                <w:b w:val="0"/>
                <w:sz w:val="17"/>
              </w:rPr>
              <w:t>Server RPCs (dashboard/reports) + read-models; method-aware costing</w:t>
            </w:r>
          </w:p>
        </w:tc>
        <w:tc>
          <w:tcPr>
            <w:tcW w:type="dxa" w:w="3888"/>
            <w:shd w:val="clear" w:color="auto" w:fill="F2F4F8"/>
          </w:tcPr>
          <w:p>
            <w:r/>
            <w:r>
              <w:rPr>
                <w:rFonts w:ascii="Calibri" w:hAnsi="Calibri"/>
                <w:b w:val="0"/>
                <w:sz w:val="17"/>
              </w:rPr>
              <w:t>Strength: tenant-scoped, fast. Weakness: no BI/warehouse; heavy aggregates in app</w:t>
            </w:r>
          </w:p>
        </w:tc>
      </w:tr>
      <w:tr>
        <w:tc>
          <w:tcPr>
            <w:tcW w:type="dxa" w:w="2160"/>
          </w:tcPr>
          <w:p>
            <w:r/>
            <w:r>
              <w:rPr>
                <w:rFonts w:ascii="Calibri" w:hAnsi="Calibri"/>
                <w:b w:val="0"/>
                <w:sz w:val="17"/>
              </w:rPr>
              <w:t>Mobile support</w:t>
            </w:r>
          </w:p>
        </w:tc>
        <w:tc>
          <w:tcPr>
            <w:tcW w:type="dxa" w:w="4320"/>
          </w:tcPr>
          <w:p>
            <w:r/>
            <w:r>
              <w:rPr>
                <w:rFonts w:ascii="Calibri" w:hAnsi="Calibri"/>
                <w:b w:val="0"/>
                <w:sz w:val="17"/>
              </w:rPr>
              <w:t>Responsive + bottom-nav 'More' drawer = full reach; offline POS (pharmacy)</w:t>
            </w:r>
          </w:p>
        </w:tc>
        <w:tc>
          <w:tcPr>
            <w:tcW w:type="dxa" w:w="3888"/>
          </w:tcPr>
          <w:p>
            <w:r/>
            <w:r>
              <w:rPr>
                <w:rFonts w:ascii="Calibri" w:hAnsi="Calibri"/>
                <w:b w:val="0"/>
                <w:sz w:val="17"/>
              </w:rPr>
              <w:t>Strength: usable on phone/tablet. Weakness: not a PWA shell; device QA pending</w:t>
            </w:r>
          </w:p>
        </w:tc>
      </w:tr>
      <w:tr>
        <w:tc>
          <w:tcPr>
            <w:tcW w:type="dxa" w:w="2160"/>
            <w:shd w:val="clear" w:color="auto" w:fill="F2F4F8"/>
          </w:tcPr>
          <w:p>
            <w:r/>
            <w:r>
              <w:rPr>
                <w:rFonts w:ascii="Calibri" w:hAnsi="Calibri"/>
                <w:b w:val="0"/>
                <w:sz w:val="17"/>
              </w:rPr>
              <w:t>Scalability</w:t>
            </w:r>
          </w:p>
        </w:tc>
        <w:tc>
          <w:tcPr>
            <w:tcW w:type="dxa" w:w="4320"/>
            <w:shd w:val="clear" w:color="auto" w:fill="F2F4F8"/>
          </w:tcPr>
          <w:p>
            <w:r/>
            <w:r>
              <w:rPr>
                <w:rFonts w:ascii="Calibri" w:hAnsi="Calibri"/>
                <w:b w:val="0"/>
                <w:sz w:val="17"/>
              </w:rPr>
              <w:t>Serverless functions + managed Postgres, single region (iad1)</w:t>
            </w:r>
          </w:p>
        </w:tc>
        <w:tc>
          <w:tcPr>
            <w:tcW w:type="dxa" w:w="3888"/>
            <w:shd w:val="clear" w:color="auto" w:fill="F2F4F8"/>
          </w:tcPr>
          <w:p>
            <w:r/>
            <w:r>
              <w:rPr>
                <w:rFonts w:ascii="Calibri" w:hAnsi="Calibri"/>
                <w:b w:val="0"/>
                <w:sz w:val="17"/>
              </w:rPr>
              <w:t>Strength: elastic compute. Weakness: single region; no load/scale testing; no read replicas wired</w:t>
            </w:r>
          </w:p>
        </w:tc>
      </w:tr>
    </w:tbl>
    <w:p>
      <w:r>
        <w:br w:type="page"/>
      </w:r>
    </w:p>
    <w:p>
      <w:pPr>
        <w:pStyle w:val="Heading1"/>
      </w:pPr>
      <w:r>
        <w:rPr>
          <w:b/>
          <w:color w:val="1F2A44"/>
          <w:sz w:val="30"/>
        </w:rPr>
        <w:t>Section 4 — Module Inventory</w:t>
      </w:r>
    </w:p>
    <w:p>
      <w:r>
        <w:rPr>
          <w:b w:val="0"/>
          <w:i w:val="0"/>
          <w:color w:val="1A1A1A"/>
          <w:sz w:val="18"/>
        </w:rPr>
        <w:t>Status legend: Production Ready (data-proven, hardened) · Pilot Ready (complete, demo-validated) · Implemented (built, lightly exercised) · Partially Implemented (present, gaps) · Planned. Maturity: Foundation → Functional → Validated → Hardened.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val="clear" w:color="auto" w:fill="1F2A44"/>
          </w:tcPr>
          <w:p>
            <w:r/>
            <w:r>
              <w:rPr>
                <w:rFonts w:ascii="Calibri" w:hAnsi="Calibri"/>
                <w:b/>
                <w:color w:val="FFFFFF"/>
                <w:sz w:val="17"/>
              </w:rPr>
              <w:t>Module</w:t>
            </w:r>
          </w:p>
        </w:tc>
        <w:tc>
          <w:tcPr>
            <w:tcW w:type="dxa" w:w="1728"/>
            <w:shd w:val="clear" w:color="auto" w:fill="1F2A44"/>
          </w:tcPr>
          <w:p>
            <w:r/>
            <w:r>
              <w:rPr>
                <w:rFonts w:ascii="Calibri" w:hAnsi="Calibri"/>
                <w:b/>
                <w:color w:val="FFFFFF"/>
                <w:sz w:val="17"/>
              </w:rPr>
              <w:t>Status</w:t>
            </w:r>
          </w:p>
        </w:tc>
        <w:tc>
          <w:tcPr>
            <w:tcW w:type="dxa" w:w="1440"/>
            <w:shd w:val="clear" w:color="auto" w:fill="1F2A44"/>
          </w:tcPr>
          <w:p>
            <w:r/>
            <w:r>
              <w:rPr>
                <w:rFonts w:ascii="Calibri" w:hAnsi="Calibri"/>
                <w:b/>
                <w:color w:val="FFFFFF"/>
                <w:sz w:val="17"/>
              </w:rPr>
              <w:t>Maturity</w:t>
            </w:r>
          </w:p>
        </w:tc>
        <w:tc>
          <w:tcPr>
            <w:tcW w:type="dxa" w:w="3744"/>
            <w:shd w:val="clear" w:color="auto" w:fill="1F2A44"/>
          </w:tcPr>
          <w:p>
            <w:r/>
            <w:r>
              <w:rPr>
                <w:rFonts w:ascii="Calibri" w:hAnsi="Calibri"/>
                <w:b/>
                <w:color w:val="FFFFFF"/>
                <w:sz w:val="17"/>
              </w:rPr>
              <w:t>Evidence / note</w:t>
            </w:r>
          </w:p>
        </w:tc>
      </w:tr>
      <w:tr>
        <w:tc>
          <w:tcPr>
            <w:tcW w:type="dxa" w:w="3456"/>
          </w:tcPr>
          <w:p>
            <w:r/>
            <w:r>
              <w:rPr>
                <w:rFonts w:ascii="Calibri" w:hAnsi="Calibri"/>
                <w:b w:val="0"/>
                <w:sz w:val="17"/>
              </w:rPr>
              <w:t>Sales / POS</w:t>
            </w:r>
          </w:p>
        </w:tc>
        <w:tc>
          <w:tcPr>
            <w:tcW w:type="dxa" w:w="1728"/>
          </w:tcPr>
          <w:p>
            <w:r/>
            <w:r>
              <w:rPr>
                <w:rFonts w:ascii="Calibri" w:hAnsi="Calibri"/>
                <w:b w:val="0"/>
                <w:sz w:val="17"/>
              </w:rPr>
              <w:t>Pilot Ready</w:t>
            </w:r>
          </w:p>
        </w:tc>
        <w:tc>
          <w:tcPr>
            <w:tcW w:type="dxa" w:w="1440"/>
          </w:tcPr>
          <w:p>
            <w:r/>
            <w:r>
              <w:rPr>
                <w:rFonts w:ascii="Calibri" w:hAnsi="Calibri"/>
                <w:b w:val="0"/>
                <w:sz w:val="17"/>
              </w:rPr>
              <w:t>Validated</w:t>
            </w:r>
          </w:p>
        </w:tc>
        <w:tc>
          <w:tcPr>
            <w:tcW w:type="dxa" w:w="3744"/>
          </w:tcPr>
          <w:p>
            <w:r/>
            <w:r>
              <w:rPr>
                <w:rFonts w:ascii="Calibri" w:hAnsi="Calibri"/>
                <w:b w:val="0"/>
                <w:sz w:val="17"/>
              </w:rPr>
              <w:t>POS + quick sale across tenants; 1,104 invoices in staging</w:t>
            </w:r>
          </w:p>
        </w:tc>
      </w:tr>
      <w:tr>
        <w:tc>
          <w:tcPr>
            <w:tcW w:type="dxa" w:w="3456"/>
            <w:shd w:val="clear" w:color="auto" w:fill="F2F4F8"/>
          </w:tcPr>
          <w:p>
            <w:r/>
            <w:r>
              <w:rPr>
                <w:rFonts w:ascii="Calibri" w:hAnsi="Calibri"/>
                <w:b w:val="0"/>
                <w:sz w:val="17"/>
              </w:rPr>
              <w:t>Invoicing</w:t>
            </w:r>
          </w:p>
        </w:tc>
        <w:tc>
          <w:tcPr>
            <w:tcW w:type="dxa" w:w="1728"/>
            <w:shd w:val="clear" w:color="auto" w:fill="F2F4F8"/>
          </w:tcPr>
          <w:p>
            <w:r/>
            <w:r>
              <w:rPr>
                <w:rFonts w:ascii="Calibri" w:hAnsi="Calibri"/>
                <w:b w:val="0"/>
                <w:sz w:val="17"/>
              </w:rPr>
              <w:t>Pilot Ready</w:t>
            </w:r>
          </w:p>
        </w:tc>
        <w:tc>
          <w:tcPr>
            <w:tcW w:type="dxa" w:w="1440"/>
            <w:shd w:val="clear" w:color="auto" w:fill="F2F4F8"/>
          </w:tcPr>
          <w:p>
            <w:r/>
            <w:r>
              <w:rPr>
                <w:rFonts w:ascii="Calibri" w:hAnsi="Calibri"/>
                <w:b w:val="0"/>
                <w:sz w:val="17"/>
              </w:rPr>
              <w:t>Validated</w:t>
            </w:r>
          </w:p>
        </w:tc>
        <w:tc>
          <w:tcPr>
            <w:tcW w:type="dxa" w:w="3744"/>
            <w:shd w:val="clear" w:color="auto" w:fill="F2F4F8"/>
          </w:tcPr>
          <w:p>
            <w:r/>
            <w:r>
              <w:rPr>
                <w:rFonts w:ascii="Calibri" w:hAnsi="Calibri"/>
                <w:b w:val="0"/>
                <w:sz w:val="17"/>
              </w:rPr>
              <w:t>Issue/AR/journal pipeline; used by all 3 demo tenants</w:t>
            </w:r>
          </w:p>
        </w:tc>
      </w:tr>
      <w:tr>
        <w:tc>
          <w:tcPr>
            <w:tcW w:type="dxa" w:w="3456"/>
          </w:tcPr>
          <w:p>
            <w:r/>
            <w:r>
              <w:rPr>
                <w:rFonts w:ascii="Calibri" w:hAnsi="Calibri"/>
                <w:b w:val="0"/>
                <w:sz w:val="17"/>
              </w:rPr>
              <w:t>Collections / Cashbox</w:t>
            </w:r>
          </w:p>
        </w:tc>
        <w:tc>
          <w:tcPr>
            <w:tcW w:type="dxa" w:w="1728"/>
          </w:tcPr>
          <w:p>
            <w:r/>
            <w:r>
              <w:rPr>
                <w:rFonts w:ascii="Calibri" w:hAnsi="Calibri"/>
                <w:b w:val="0"/>
                <w:sz w:val="17"/>
              </w:rPr>
              <w:t>Pilot Ready</w:t>
            </w:r>
          </w:p>
        </w:tc>
        <w:tc>
          <w:tcPr>
            <w:tcW w:type="dxa" w:w="1440"/>
          </w:tcPr>
          <w:p>
            <w:r/>
            <w:r>
              <w:rPr>
                <w:rFonts w:ascii="Calibri" w:hAnsi="Calibri"/>
                <w:b w:val="0"/>
                <w:sz w:val="17"/>
              </w:rPr>
              <w:t>Functional</w:t>
            </w:r>
          </w:p>
        </w:tc>
        <w:tc>
          <w:tcPr>
            <w:tcW w:type="dxa" w:w="3744"/>
          </w:tcPr>
          <w:p>
            <w:r/>
            <w:r>
              <w:rPr>
                <w:rFonts w:ascii="Calibri" w:hAnsi="Calibri"/>
                <w:b w:val="0"/>
                <w:sz w:val="17"/>
              </w:rPr>
              <w:t>Payments, cash sessions, shifts</w:t>
            </w:r>
          </w:p>
        </w:tc>
      </w:tr>
      <w:tr>
        <w:tc>
          <w:tcPr>
            <w:tcW w:type="dxa" w:w="3456"/>
            <w:shd w:val="clear" w:color="auto" w:fill="F2F4F8"/>
          </w:tcPr>
          <w:p>
            <w:r/>
            <w:r>
              <w:rPr>
                <w:rFonts w:ascii="Calibri" w:hAnsi="Calibri"/>
                <w:b w:val="0"/>
                <w:sz w:val="17"/>
              </w:rPr>
              <w:t>Inventory</w:t>
            </w:r>
          </w:p>
        </w:tc>
        <w:tc>
          <w:tcPr>
            <w:tcW w:type="dxa" w:w="1728"/>
            <w:shd w:val="clear" w:color="auto" w:fill="F2F4F8"/>
          </w:tcPr>
          <w:p>
            <w:r/>
            <w:r>
              <w:rPr>
                <w:rFonts w:ascii="Calibri" w:hAnsi="Calibri"/>
                <w:b w:val="0"/>
                <w:sz w:val="17"/>
              </w:rPr>
              <w:t>Pilot Ready</w:t>
            </w:r>
          </w:p>
        </w:tc>
        <w:tc>
          <w:tcPr>
            <w:tcW w:type="dxa" w:w="1440"/>
            <w:shd w:val="clear" w:color="auto" w:fill="F2F4F8"/>
          </w:tcPr>
          <w:p>
            <w:r/>
            <w:r>
              <w:rPr>
                <w:rFonts w:ascii="Calibri" w:hAnsi="Calibri"/>
                <w:b w:val="0"/>
                <w:sz w:val="17"/>
              </w:rPr>
              <w:t>Validated</w:t>
            </w:r>
          </w:p>
        </w:tc>
        <w:tc>
          <w:tcPr>
            <w:tcW w:type="dxa" w:w="3744"/>
            <w:shd w:val="clear" w:color="auto" w:fill="F2F4F8"/>
          </w:tcPr>
          <w:p>
            <w:r/>
            <w:r>
              <w:rPr>
                <w:rFonts w:ascii="Calibri" w:hAnsi="Calibri"/>
                <w:b w:val="0"/>
                <w:sz w:val="17"/>
              </w:rPr>
              <w:t>Stock, movements, batches, FEFO, transfers</w:t>
            </w:r>
          </w:p>
        </w:tc>
      </w:tr>
      <w:tr>
        <w:tc>
          <w:tcPr>
            <w:tcW w:type="dxa" w:w="3456"/>
          </w:tcPr>
          <w:p>
            <w:r/>
            <w:r>
              <w:rPr>
                <w:rFonts w:ascii="Calibri" w:hAnsi="Calibri"/>
                <w:b w:val="0"/>
                <w:sz w:val="17"/>
              </w:rPr>
              <w:t>Returns</w:t>
            </w:r>
          </w:p>
        </w:tc>
        <w:tc>
          <w:tcPr>
            <w:tcW w:type="dxa" w:w="1728"/>
          </w:tcPr>
          <w:p>
            <w:r/>
            <w:r>
              <w:rPr>
                <w:rFonts w:ascii="Calibri" w:hAnsi="Calibri"/>
                <w:b w:val="0"/>
                <w:sz w:val="17"/>
              </w:rPr>
              <w:t>Pilot Ready</w:t>
            </w:r>
          </w:p>
        </w:tc>
        <w:tc>
          <w:tcPr>
            <w:tcW w:type="dxa" w:w="1440"/>
          </w:tcPr>
          <w:p>
            <w:r/>
            <w:r>
              <w:rPr>
                <w:rFonts w:ascii="Calibri" w:hAnsi="Calibri"/>
                <w:b w:val="0"/>
                <w:sz w:val="17"/>
              </w:rPr>
              <w:t>Validated</w:t>
            </w:r>
          </w:p>
        </w:tc>
        <w:tc>
          <w:tcPr>
            <w:tcW w:type="dxa" w:w="3744"/>
          </w:tcPr>
          <w:p>
            <w:r/>
            <w:r>
              <w:rPr>
                <w:rFonts w:ascii="Calibri" w:hAnsi="Calibri"/>
                <w:b w:val="0"/>
                <w:sz w:val="17"/>
              </w:rPr>
              <w:t>Generic + batch-aware (pharmacy) returns</w:t>
            </w:r>
          </w:p>
        </w:tc>
      </w:tr>
      <w:tr>
        <w:tc>
          <w:tcPr>
            <w:tcW w:type="dxa" w:w="3456"/>
            <w:shd w:val="clear" w:color="auto" w:fill="F2F4F8"/>
          </w:tcPr>
          <w:p>
            <w:r/>
            <w:r>
              <w:rPr>
                <w:rFonts w:ascii="Calibri" w:hAnsi="Calibri"/>
                <w:b w:val="0"/>
                <w:sz w:val="17"/>
              </w:rPr>
              <w:t>Accounting</w:t>
            </w:r>
          </w:p>
        </w:tc>
        <w:tc>
          <w:tcPr>
            <w:tcW w:type="dxa" w:w="1728"/>
            <w:shd w:val="clear" w:color="auto" w:fill="F2F4F8"/>
          </w:tcPr>
          <w:p>
            <w:r/>
            <w:r>
              <w:rPr>
                <w:rFonts w:ascii="Calibri" w:hAnsi="Calibri"/>
                <w:b w:val="0"/>
                <w:sz w:val="17"/>
              </w:rPr>
              <w:t>Implemented</w:t>
            </w:r>
          </w:p>
        </w:tc>
        <w:tc>
          <w:tcPr>
            <w:tcW w:type="dxa" w:w="1440"/>
            <w:shd w:val="clear" w:color="auto" w:fill="F2F4F8"/>
          </w:tcPr>
          <w:p>
            <w:r/>
            <w:r>
              <w:rPr>
                <w:rFonts w:ascii="Calibri" w:hAnsi="Calibri"/>
                <w:b w:val="0"/>
                <w:sz w:val="17"/>
              </w:rPr>
              <w:t>Functional</w:t>
            </w:r>
          </w:p>
        </w:tc>
        <w:tc>
          <w:tcPr>
            <w:tcW w:type="dxa" w:w="3744"/>
            <w:shd w:val="clear" w:color="auto" w:fill="F2F4F8"/>
          </w:tcPr>
          <w:p>
            <w:r/>
            <w:r>
              <w:rPr>
                <w:rFonts w:ascii="Calibri" w:hAnsi="Calibri"/>
                <w:b w:val="0"/>
                <w:sz w:val="17"/>
              </w:rPr>
              <w:t>Chart of accounts, journals, vouchers; not audited at scale</w:t>
            </w:r>
          </w:p>
        </w:tc>
      </w:tr>
      <w:tr>
        <w:tc>
          <w:tcPr>
            <w:tcW w:type="dxa" w:w="3456"/>
          </w:tcPr>
          <w:p>
            <w:r/>
            <w:r>
              <w:rPr>
                <w:rFonts w:ascii="Calibri" w:hAnsi="Calibri"/>
                <w:b w:val="0"/>
                <w:sz w:val="17"/>
              </w:rPr>
              <w:t>Purchasing</w:t>
            </w:r>
          </w:p>
        </w:tc>
        <w:tc>
          <w:tcPr>
            <w:tcW w:type="dxa" w:w="1728"/>
          </w:tcPr>
          <w:p>
            <w:r/>
            <w:r>
              <w:rPr>
                <w:rFonts w:ascii="Calibri" w:hAnsi="Calibri"/>
                <w:b w:val="0"/>
                <w:sz w:val="17"/>
              </w:rPr>
              <w:t>Pilot Ready</w:t>
            </w:r>
          </w:p>
        </w:tc>
        <w:tc>
          <w:tcPr>
            <w:tcW w:type="dxa" w:w="1440"/>
          </w:tcPr>
          <w:p>
            <w:r/>
            <w:r>
              <w:rPr>
                <w:rFonts w:ascii="Calibri" w:hAnsi="Calibri"/>
                <w:b w:val="0"/>
                <w:sz w:val="17"/>
              </w:rPr>
              <w:t>Functional</w:t>
            </w:r>
          </w:p>
        </w:tc>
        <w:tc>
          <w:tcPr>
            <w:tcW w:type="dxa" w:w="3744"/>
          </w:tcPr>
          <w:p>
            <w:r/>
            <w:r>
              <w:rPr>
                <w:rFonts w:ascii="Calibri" w:hAnsi="Calibri"/>
                <w:b w:val="0"/>
                <w:sz w:val="17"/>
              </w:rPr>
              <w:t>POs, goods receipts, supplier balances; pharmacy reorder</w:t>
            </w:r>
          </w:p>
        </w:tc>
      </w:tr>
      <w:tr>
        <w:tc>
          <w:tcPr>
            <w:tcW w:type="dxa" w:w="3456"/>
            <w:shd w:val="clear" w:color="auto" w:fill="F2F4F8"/>
          </w:tcPr>
          <w:p>
            <w:r/>
            <w:r>
              <w:rPr>
                <w:rFonts w:ascii="Calibri" w:hAnsi="Calibri"/>
                <w:b w:val="0"/>
                <w:sz w:val="17"/>
              </w:rPr>
              <w:t>CRM / Contacts</w:t>
            </w:r>
          </w:p>
        </w:tc>
        <w:tc>
          <w:tcPr>
            <w:tcW w:type="dxa" w:w="1728"/>
            <w:shd w:val="clear" w:color="auto" w:fill="F2F4F8"/>
          </w:tcPr>
          <w:p>
            <w:r/>
            <w:r>
              <w:rPr>
                <w:rFonts w:ascii="Calibri" w:hAnsi="Calibri"/>
                <w:b w:val="0"/>
                <w:sz w:val="17"/>
              </w:rPr>
              <w:t>Pilot Ready</w:t>
            </w:r>
          </w:p>
        </w:tc>
        <w:tc>
          <w:tcPr>
            <w:tcW w:type="dxa" w:w="1440"/>
            <w:shd w:val="clear" w:color="auto" w:fill="F2F4F8"/>
          </w:tcPr>
          <w:p>
            <w:r/>
            <w:r>
              <w:rPr>
                <w:rFonts w:ascii="Calibri" w:hAnsi="Calibri"/>
                <w:b w:val="0"/>
                <w:sz w:val="17"/>
              </w:rPr>
              <w:t>Functional</w:t>
            </w:r>
          </w:p>
        </w:tc>
        <w:tc>
          <w:tcPr>
            <w:tcW w:type="dxa" w:w="3744"/>
            <w:shd w:val="clear" w:color="auto" w:fill="F2F4F8"/>
          </w:tcPr>
          <w:p>
            <w:r/>
            <w:r>
              <w:rPr>
                <w:rFonts w:ascii="Calibri" w:hAnsi="Calibri"/>
                <w:b w:val="0"/>
                <w:sz w:val="17"/>
              </w:rPr>
              <w:t>Full + lightweight contact model; quick-create</w:t>
            </w:r>
          </w:p>
        </w:tc>
      </w:tr>
      <w:tr>
        <w:tc>
          <w:tcPr>
            <w:tcW w:type="dxa" w:w="3456"/>
          </w:tcPr>
          <w:p>
            <w:r/>
            <w:r>
              <w:rPr>
                <w:rFonts w:ascii="Calibri" w:hAnsi="Calibri"/>
                <w:b w:val="0"/>
                <w:sz w:val="17"/>
              </w:rPr>
              <w:t>Workflow / Approvals</w:t>
            </w:r>
          </w:p>
        </w:tc>
        <w:tc>
          <w:tcPr>
            <w:tcW w:type="dxa" w:w="1728"/>
          </w:tcPr>
          <w:p>
            <w:r/>
            <w:r>
              <w:rPr>
                <w:rFonts w:ascii="Calibri" w:hAnsi="Calibri"/>
                <w:b w:val="0"/>
                <w:sz w:val="17"/>
              </w:rPr>
              <w:t>Implemented</w:t>
            </w:r>
          </w:p>
        </w:tc>
        <w:tc>
          <w:tcPr>
            <w:tcW w:type="dxa" w:w="1440"/>
          </w:tcPr>
          <w:p>
            <w:r/>
            <w:r>
              <w:rPr>
                <w:rFonts w:ascii="Calibri" w:hAnsi="Calibri"/>
                <w:b w:val="0"/>
                <w:sz w:val="17"/>
              </w:rPr>
              <w:t>Functional</w:t>
            </w:r>
          </w:p>
        </w:tc>
        <w:tc>
          <w:tcPr>
            <w:tcW w:type="dxa" w:w="3744"/>
          </w:tcPr>
          <w:p>
            <w:r/>
            <w:r>
              <w:rPr>
                <w:rFonts w:ascii="Calibri" w:hAnsi="Calibri"/>
                <w:b w:val="0"/>
                <w:sz w:val="17"/>
              </w:rPr>
              <w:t>Engine + approval routing; flag-gated, lightly used</w:t>
            </w:r>
          </w:p>
        </w:tc>
      </w:tr>
      <w:tr>
        <w:tc>
          <w:tcPr>
            <w:tcW w:type="dxa" w:w="3456"/>
            <w:shd w:val="clear" w:color="auto" w:fill="F2F4F8"/>
          </w:tcPr>
          <w:p>
            <w:r/>
            <w:r>
              <w:rPr>
                <w:rFonts w:ascii="Calibri" w:hAnsi="Calibri"/>
                <w:b w:val="0"/>
                <w:sz w:val="17"/>
              </w:rPr>
              <w:t>Route Management</w:t>
            </w:r>
          </w:p>
        </w:tc>
        <w:tc>
          <w:tcPr>
            <w:tcW w:type="dxa" w:w="1728"/>
            <w:shd w:val="clear" w:color="auto" w:fill="F2F4F8"/>
          </w:tcPr>
          <w:p>
            <w:r/>
            <w:r>
              <w:rPr>
                <w:rFonts w:ascii="Calibri" w:hAnsi="Calibri"/>
                <w:b w:val="0"/>
                <w:sz w:val="17"/>
              </w:rPr>
              <w:t>Implemented</w:t>
            </w:r>
          </w:p>
        </w:tc>
        <w:tc>
          <w:tcPr>
            <w:tcW w:type="dxa" w:w="1440"/>
            <w:shd w:val="clear" w:color="auto" w:fill="F2F4F8"/>
          </w:tcPr>
          <w:p>
            <w:r/>
            <w:r>
              <w:rPr>
                <w:rFonts w:ascii="Calibri" w:hAnsi="Calibri"/>
                <w:b w:val="0"/>
                <w:sz w:val="17"/>
              </w:rPr>
              <w:t>Functional</w:t>
            </w:r>
          </w:p>
        </w:tc>
        <w:tc>
          <w:tcPr>
            <w:tcW w:type="dxa" w:w="3744"/>
            <w:shd w:val="clear" w:color="auto" w:fill="F2F4F8"/>
          </w:tcPr>
          <w:p>
            <w:r/>
            <w:r>
              <w:rPr>
                <w:rFonts w:ascii="Calibri" w:hAnsi="Calibri"/>
                <w:b w:val="0"/>
                <w:sz w:val="17"/>
              </w:rPr>
              <w:t>Screens present; env-flag gated (KAKO_*)</w:t>
            </w:r>
          </w:p>
        </w:tc>
      </w:tr>
      <w:tr>
        <w:tc>
          <w:tcPr>
            <w:tcW w:type="dxa" w:w="3456"/>
          </w:tcPr>
          <w:p>
            <w:r/>
            <w:r>
              <w:rPr>
                <w:rFonts w:ascii="Calibri" w:hAnsi="Calibri"/>
                <w:b w:val="0"/>
                <w:sz w:val="17"/>
              </w:rPr>
              <w:t>Van Sales</w:t>
            </w:r>
          </w:p>
        </w:tc>
        <w:tc>
          <w:tcPr>
            <w:tcW w:type="dxa" w:w="1728"/>
          </w:tcPr>
          <w:p>
            <w:r/>
            <w:r>
              <w:rPr>
                <w:rFonts w:ascii="Calibri" w:hAnsi="Calibri"/>
                <w:b w:val="0"/>
                <w:sz w:val="17"/>
              </w:rPr>
              <w:t>Implemented</w:t>
            </w:r>
          </w:p>
        </w:tc>
        <w:tc>
          <w:tcPr>
            <w:tcW w:type="dxa" w:w="1440"/>
          </w:tcPr>
          <w:p>
            <w:r/>
            <w:r>
              <w:rPr>
                <w:rFonts w:ascii="Calibri" w:hAnsi="Calibri"/>
                <w:b w:val="0"/>
                <w:sz w:val="17"/>
              </w:rPr>
              <w:t>Functional</w:t>
            </w:r>
          </w:p>
        </w:tc>
        <w:tc>
          <w:tcPr>
            <w:tcW w:type="dxa" w:w="3744"/>
          </w:tcPr>
          <w:p>
            <w:r/>
            <w:r>
              <w:rPr>
                <w:rFonts w:ascii="Calibri" w:hAnsi="Calibri"/>
                <w:b w:val="0"/>
                <w:sz w:val="17"/>
              </w:rPr>
              <w:t>Van accounting/reconciliation; env-flag gated</w:t>
            </w:r>
          </w:p>
        </w:tc>
      </w:tr>
      <w:tr>
        <w:tc>
          <w:tcPr>
            <w:tcW w:type="dxa" w:w="3456"/>
            <w:shd w:val="clear" w:color="auto" w:fill="F2F4F8"/>
          </w:tcPr>
          <w:p>
            <w:r/>
            <w:r>
              <w:rPr>
                <w:rFonts w:ascii="Calibri" w:hAnsi="Calibri"/>
                <w:b w:val="0"/>
                <w:sz w:val="17"/>
              </w:rPr>
              <w:t>Trade Spend</w:t>
            </w:r>
          </w:p>
        </w:tc>
        <w:tc>
          <w:tcPr>
            <w:tcW w:type="dxa" w:w="1728"/>
            <w:shd w:val="clear" w:color="auto" w:fill="F2F4F8"/>
          </w:tcPr>
          <w:p>
            <w:r/>
            <w:r>
              <w:rPr>
                <w:rFonts w:ascii="Calibri" w:hAnsi="Calibri"/>
                <w:b w:val="0"/>
                <w:sz w:val="17"/>
              </w:rPr>
              <w:t>Implemented</w:t>
            </w:r>
          </w:p>
        </w:tc>
        <w:tc>
          <w:tcPr>
            <w:tcW w:type="dxa" w:w="1440"/>
            <w:shd w:val="clear" w:color="auto" w:fill="F2F4F8"/>
          </w:tcPr>
          <w:p>
            <w:r/>
            <w:r>
              <w:rPr>
                <w:rFonts w:ascii="Calibri" w:hAnsi="Calibri"/>
                <w:b w:val="0"/>
                <w:sz w:val="17"/>
              </w:rPr>
              <w:t>Foundation</w:t>
            </w:r>
          </w:p>
        </w:tc>
        <w:tc>
          <w:tcPr>
            <w:tcW w:type="dxa" w:w="3744"/>
            <w:shd w:val="clear" w:color="auto" w:fill="F2F4F8"/>
          </w:tcPr>
          <w:p>
            <w:r/>
            <w:r>
              <w:rPr>
                <w:rFonts w:ascii="Calibri" w:hAnsi="Calibri"/>
                <w:b w:val="0"/>
                <w:sz w:val="17"/>
              </w:rPr>
              <w:t>Tables + KPI dashboard; inert until flag on; no seeded campaigns</w:t>
            </w:r>
          </w:p>
        </w:tc>
      </w:tr>
      <w:tr>
        <w:tc>
          <w:tcPr>
            <w:tcW w:type="dxa" w:w="3456"/>
          </w:tcPr>
          <w:p>
            <w:r/>
            <w:r>
              <w:rPr>
                <w:rFonts w:ascii="Calibri" w:hAnsi="Calibri"/>
                <w:b w:val="0"/>
                <w:sz w:val="17"/>
              </w:rPr>
              <w:t>Merchandising</w:t>
            </w:r>
          </w:p>
        </w:tc>
        <w:tc>
          <w:tcPr>
            <w:tcW w:type="dxa" w:w="1728"/>
          </w:tcPr>
          <w:p>
            <w:r/>
            <w:r>
              <w:rPr>
                <w:rFonts w:ascii="Calibri" w:hAnsi="Calibri"/>
                <w:b w:val="0"/>
                <w:sz w:val="17"/>
              </w:rPr>
              <w:t>Implemented</w:t>
            </w:r>
          </w:p>
        </w:tc>
        <w:tc>
          <w:tcPr>
            <w:tcW w:type="dxa" w:w="1440"/>
          </w:tcPr>
          <w:p>
            <w:r/>
            <w:r>
              <w:rPr>
                <w:rFonts w:ascii="Calibri" w:hAnsi="Calibri"/>
                <w:b w:val="0"/>
                <w:sz w:val="17"/>
              </w:rPr>
              <w:t>Functional</w:t>
            </w:r>
          </w:p>
        </w:tc>
        <w:tc>
          <w:tcPr>
            <w:tcW w:type="dxa" w:w="3744"/>
          </w:tcPr>
          <w:p>
            <w:r/>
            <w:r>
              <w:rPr>
                <w:rFonts w:ascii="Calibri" w:hAnsi="Calibri"/>
                <w:b w:val="0"/>
                <w:sz w:val="17"/>
              </w:rPr>
              <w:t>Perfect-store, MSL, grading, assortment; flag-gated</w:t>
            </w:r>
          </w:p>
        </w:tc>
      </w:tr>
      <w:tr>
        <w:tc>
          <w:tcPr>
            <w:tcW w:type="dxa" w:w="3456"/>
            <w:shd w:val="clear" w:color="auto" w:fill="F2F4F8"/>
          </w:tcPr>
          <w:p>
            <w:r/>
            <w:r>
              <w:rPr>
                <w:rFonts w:ascii="Calibri" w:hAnsi="Calibri"/>
                <w:b w:val="0"/>
                <w:sz w:val="17"/>
              </w:rPr>
              <w:t>Change Requests</w:t>
            </w:r>
          </w:p>
        </w:tc>
        <w:tc>
          <w:tcPr>
            <w:tcW w:type="dxa" w:w="1728"/>
            <w:shd w:val="clear" w:color="auto" w:fill="F2F4F8"/>
          </w:tcPr>
          <w:p>
            <w:r/>
            <w:r>
              <w:rPr>
                <w:rFonts w:ascii="Calibri" w:hAnsi="Calibri"/>
                <w:b w:val="0"/>
                <w:sz w:val="17"/>
              </w:rPr>
              <w:t>Implemented</w:t>
            </w:r>
          </w:p>
        </w:tc>
        <w:tc>
          <w:tcPr>
            <w:tcW w:type="dxa" w:w="1440"/>
            <w:shd w:val="clear" w:color="auto" w:fill="F2F4F8"/>
          </w:tcPr>
          <w:p>
            <w:r/>
            <w:r>
              <w:rPr>
                <w:rFonts w:ascii="Calibri" w:hAnsi="Calibri"/>
                <w:b w:val="0"/>
                <w:sz w:val="17"/>
              </w:rPr>
              <w:t>Functional</w:t>
            </w:r>
          </w:p>
        </w:tc>
        <w:tc>
          <w:tcPr>
            <w:tcW w:type="dxa" w:w="3744"/>
            <w:shd w:val="clear" w:color="auto" w:fill="F2F4F8"/>
          </w:tcPr>
          <w:p>
            <w:r/>
            <w:r>
              <w:rPr>
                <w:rFonts w:ascii="Calibri" w:hAnsi="Calibri"/>
                <w:b w:val="0"/>
                <w:sz w:val="17"/>
              </w:rPr>
              <w:t>Engine + screens; flag-gated</w:t>
            </w:r>
          </w:p>
        </w:tc>
      </w:tr>
      <w:tr>
        <w:tc>
          <w:tcPr>
            <w:tcW w:type="dxa" w:w="3456"/>
          </w:tcPr>
          <w:p>
            <w:r/>
            <w:r>
              <w:rPr>
                <w:rFonts w:ascii="Calibri" w:hAnsi="Calibri"/>
                <w:b w:val="0"/>
                <w:sz w:val="17"/>
              </w:rPr>
              <w:t>Critical Alerts</w:t>
            </w:r>
          </w:p>
        </w:tc>
        <w:tc>
          <w:tcPr>
            <w:tcW w:type="dxa" w:w="1728"/>
          </w:tcPr>
          <w:p>
            <w:r/>
            <w:r>
              <w:rPr>
                <w:rFonts w:ascii="Calibri" w:hAnsi="Calibri"/>
                <w:b w:val="0"/>
                <w:sz w:val="17"/>
              </w:rPr>
              <w:t>Implemented</w:t>
            </w:r>
          </w:p>
        </w:tc>
        <w:tc>
          <w:tcPr>
            <w:tcW w:type="dxa" w:w="1440"/>
          </w:tcPr>
          <w:p>
            <w:r/>
            <w:r>
              <w:rPr>
                <w:rFonts w:ascii="Calibri" w:hAnsi="Calibri"/>
                <w:b w:val="0"/>
                <w:sz w:val="17"/>
              </w:rPr>
              <w:t>Functional</w:t>
            </w:r>
          </w:p>
        </w:tc>
        <w:tc>
          <w:tcPr>
            <w:tcW w:type="dxa" w:w="3744"/>
          </w:tcPr>
          <w:p>
            <w:r/>
            <w:r>
              <w:rPr>
                <w:rFonts w:ascii="Calibri" w:hAnsi="Calibri"/>
                <w:b w:val="0"/>
                <w:sz w:val="17"/>
              </w:rPr>
              <w:t>Alert rules + screen; flag-gated</w:t>
            </w:r>
          </w:p>
        </w:tc>
      </w:tr>
      <w:tr>
        <w:tc>
          <w:tcPr>
            <w:tcW w:type="dxa" w:w="3456"/>
            <w:shd w:val="clear" w:color="auto" w:fill="F2F4F8"/>
          </w:tcPr>
          <w:p>
            <w:r/>
            <w:r>
              <w:rPr>
                <w:rFonts w:ascii="Calibri" w:hAnsi="Calibri"/>
                <w:b w:val="0"/>
                <w:sz w:val="17"/>
              </w:rPr>
              <w:t>Analytics / Reports</w:t>
            </w:r>
          </w:p>
        </w:tc>
        <w:tc>
          <w:tcPr>
            <w:tcW w:type="dxa" w:w="1728"/>
            <w:shd w:val="clear" w:color="auto" w:fill="F2F4F8"/>
          </w:tcPr>
          <w:p>
            <w:r/>
            <w:r>
              <w:rPr>
                <w:rFonts w:ascii="Calibri" w:hAnsi="Calibri"/>
                <w:b w:val="0"/>
                <w:sz w:val="17"/>
              </w:rPr>
              <w:t>Implemented</w:t>
            </w:r>
          </w:p>
        </w:tc>
        <w:tc>
          <w:tcPr>
            <w:tcW w:type="dxa" w:w="1440"/>
            <w:shd w:val="clear" w:color="auto" w:fill="F2F4F8"/>
          </w:tcPr>
          <w:p>
            <w:r/>
            <w:r>
              <w:rPr>
                <w:rFonts w:ascii="Calibri" w:hAnsi="Calibri"/>
                <w:b w:val="0"/>
                <w:sz w:val="17"/>
              </w:rPr>
              <w:t>Functional</w:t>
            </w:r>
          </w:p>
        </w:tc>
        <w:tc>
          <w:tcPr>
            <w:tcW w:type="dxa" w:w="3744"/>
            <w:shd w:val="clear" w:color="auto" w:fill="F2F4F8"/>
          </w:tcPr>
          <w:p>
            <w:r/>
            <w:r>
              <w:rPr>
                <w:rFonts w:ascii="Calibri" w:hAnsi="Calibri"/>
                <w:b w:val="0"/>
                <w:sz w:val="17"/>
              </w:rPr>
              <w:t>RPC dashboards + reports; no external BI</w:t>
            </w:r>
          </w:p>
        </w:tc>
      </w:tr>
      <w:tr>
        <w:tc>
          <w:tcPr>
            <w:tcW w:type="dxa" w:w="3456"/>
          </w:tcPr>
          <w:p>
            <w:r/>
            <w:r>
              <w:rPr>
                <w:rFonts w:ascii="Calibri" w:hAnsi="Calibri"/>
                <w:b w:val="0"/>
                <w:sz w:val="17"/>
              </w:rPr>
              <w:t>Pharmacy Pack (M1–M11)</w:t>
            </w:r>
          </w:p>
        </w:tc>
        <w:tc>
          <w:tcPr>
            <w:tcW w:type="dxa" w:w="1728"/>
          </w:tcPr>
          <w:p>
            <w:r/>
            <w:r>
              <w:rPr>
                <w:rFonts w:ascii="Calibri" w:hAnsi="Calibri"/>
                <w:b w:val="0"/>
                <w:sz w:val="17"/>
              </w:rPr>
              <w:t>Pilot Ready</w:t>
            </w:r>
          </w:p>
        </w:tc>
        <w:tc>
          <w:tcPr>
            <w:tcW w:type="dxa" w:w="1440"/>
          </w:tcPr>
          <w:p>
            <w:r/>
            <w:r>
              <w:rPr>
                <w:rFonts w:ascii="Calibri" w:hAnsi="Calibri"/>
                <w:b w:val="0"/>
                <w:sz w:val="17"/>
              </w:rPr>
              <w:t>Validated</w:t>
            </w:r>
          </w:p>
        </w:tc>
        <w:tc>
          <w:tcPr>
            <w:tcW w:type="dxa" w:w="3744"/>
          </w:tcPr>
          <w:p>
            <w:r/>
            <w:r>
              <w:rPr>
                <w:rFonts w:ascii="Calibri" w:hAnsi="Calibri"/>
                <w:b w:val="0"/>
                <w:sz w:val="17"/>
              </w:rPr>
              <w:t>FEFO, substitutes, PO/reorder, dispense, controlled, offline POS, valuation, batch returns, loyalty/credit, multi-branch, ETA readiness — data-proven on Amty</w:t>
            </w:r>
          </w:p>
        </w:tc>
      </w:tr>
      <w:tr>
        <w:tc>
          <w:tcPr>
            <w:tcW w:type="dxa" w:w="3456"/>
            <w:shd w:val="clear" w:color="auto" w:fill="F2F4F8"/>
          </w:tcPr>
          <w:p>
            <w:r/>
            <w:r>
              <w:rPr>
                <w:rFonts w:ascii="Calibri" w:hAnsi="Calibri"/>
                <w:b w:val="0"/>
                <w:sz w:val="17"/>
              </w:rPr>
              <w:t>Verticals (clinic/restaurant/salon/hotel/laundry/fashion/wholesale/electrical)</w:t>
            </w:r>
          </w:p>
        </w:tc>
        <w:tc>
          <w:tcPr>
            <w:tcW w:type="dxa" w:w="1728"/>
            <w:shd w:val="clear" w:color="auto" w:fill="F2F4F8"/>
          </w:tcPr>
          <w:p>
            <w:r/>
            <w:r>
              <w:rPr>
                <w:rFonts w:ascii="Calibri" w:hAnsi="Calibri"/>
                <w:b w:val="0"/>
                <w:sz w:val="17"/>
              </w:rPr>
              <w:t>Partially Implemented</w:t>
            </w:r>
          </w:p>
        </w:tc>
        <w:tc>
          <w:tcPr>
            <w:tcW w:type="dxa" w:w="1440"/>
            <w:shd w:val="clear" w:color="auto" w:fill="F2F4F8"/>
          </w:tcPr>
          <w:p>
            <w:r/>
            <w:r>
              <w:rPr>
                <w:rFonts w:ascii="Calibri" w:hAnsi="Calibri"/>
                <w:b w:val="0"/>
                <w:sz w:val="17"/>
              </w:rPr>
              <w:t>Foundation</w:t>
            </w:r>
          </w:p>
        </w:tc>
        <w:tc>
          <w:tcPr>
            <w:tcW w:type="dxa" w:w="3744"/>
            <w:shd w:val="clear" w:color="auto" w:fill="F2F4F8"/>
          </w:tcPr>
          <w:p>
            <w:r/>
            <w:r>
              <w:rPr>
                <w:rFonts w:ascii="Calibri" w:hAnsi="Calibri"/>
                <w:b w:val="0"/>
                <w:sz w:val="17"/>
              </w:rPr>
              <w:t>Screens exist; demo-level, not pilot-validated</w:t>
            </w:r>
          </w:p>
        </w:tc>
      </w:tr>
      <w:tr>
        <w:tc>
          <w:tcPr>
            <w:tcW w:type="dxa" w:w="3456"/>
          </w:tcPr>
          <w:p>
            <w:r/>
            <w:r>
              <w:rPr>
                <w:rFonts w:ascii="Calibri" w:hAnsi="Calibri"/>
                <w:b w:val="0"/>
                <w:sz w:val="17"/>
              </w:rPr>
              <w:t>Integrations (/api/v1, webhooks, sync)</w:t>
            </w:r>
          </w:p>
        </w:tc>
        <w:tc>
          <w:tcPr>
            <w:tcW w:type="dxa" w:w="1728"/>
          </w:tcPr>
          <w:p>
            <w:r/>
            <w:r>
              <w:rPr>
                <w:rFonts w:ascii="Calibri" w:hAnsi="Calibri"/>
                <w:b w:val="0"/>
                <w:sz w:val="17"/>
              </w:rPr>
              <w:t>Implemented</w:t>
            </w:r>
          </w:p>
        </w:tc>
        <w:tc>
          <w:tcPr>
            <w:tcW w:type="dxa" w:w="1440"/>
          </w:tcPr>
          <w:p>
            <w:r/>
            <w:r>
              <w:rPr>
                <w:rFonts w:ascii="Calibri" w:hAnsi="Calibri"/>
                <w:b w:val="0"/>
                <w:sz w:val="17"/>
              </w:rPr>
              <w:t>Foundation</w:t>
            </w:r>
          </w:p>
        </w:tc>
        <w:tc>
          <w:tcPr>
            <w:tcW w:type="dxa" w:w="3744"/>
          </w:tcPr>
          <w:p>
            <w:r/>
            <w:r>
              <w:rPr>
                <w:rFonts w:ascii="Calibri" w:hAnsi="Calibri"/>
                <w:b w:val="0"/>
                <w:sz w:val="17"/>
              </w:rPr>
              <w:t>Service-role API + webhooks; key/flag gated, unproven</w:t>
            </w:r>
          </w:p>
        </w:tc>
      </w:tr>
      <w:tr>
        <w:tc>
          <w:tcPr>
            <w:tcW w:type="dxa" w:w="3456"/>
            <w:shd w:val="clear" w:color="auto" w:fill="F2F4F8"/>
          </w:tcPr>
          <w:p>
            <w:r/>
            <w:r>
              <w:rPr>
                <w:rFonts w:ascii="Calibri" w:hAnsi="Calibri"/>
                <w:b w:val="0"/>
                <w:sz w:val="17"/>
              </w:rPr>
              <w:t>Billing / Subscriptions</w:t>
            </w:r>
          </w:p>
        </w:tc>
        <w:tc>
          <w:tcPr>
            <w:tcW w:type="dxa" w:w="1728"/>
            <w:shd w:val="clear" w:color="auto" w:fill="F2F4F8"/>
          </w:tcPr>
          <w:p>
            <w:r/>
            <w:r>
              <w:rPr>
                <w:rFonts w:ascii="Calibri" w:hAnsi="Calibri"/>
                <w:b w:val="0"/>
                <w:sz w:val="17"/>
              </w:rPr>
              <w:t>Partially Implemented</w:t>
            </w:r>
          </w:p>
        </w:tc>
        <w:tc>
          <w:tcPr>
            <w:tcW w:type="dxa" w:w="1440"/>
            <w:shd w:val="clear" w:color="auto" w:fill="F2F4F8"/>
          </w:tcPr>
          <w:p>
            <w:r/>
            <w:r>
              <w:rPr>
                <w:rFonts w:ascii="Calibri" w:hAnsi="Calibri"/>
                <w:b w:val="0"/>
                <w:sz w:val="17"/>
              </w:rPr>
              <w:t>Foundation</w:t>
            </w:r>
          </w:p>
        </w:tc>
        <w:tc>
          <w:tcPr>
            <w:tcW w:type="dxa" w:w="3744"/>
            <w:shd w:val="clear" w:color="auto" w:fill="F2F4F8"/>
          </w:tcPr>
          <w:p>
            <w:r/>
            <w:r>
              <w:rPr>
                <w:rFonts w:ascii="Calibri" w:hAnsi="Calibri"/>
                <w:b w:val="0"/>
                <w:sz w:val="17"/>
              </w:rPr>
              <w:t>Tables + platform billing screens; not exercised commercially</w:t>
            </w:r>
          </w:p>
        </w:tc>
      </w:tr>
    </w:tbl>
    <w:p>
      <w:r>
        <w:br w:type="page"/>
      </w:r>
    </w:p>
    <w:p>
      <w:pPr>
        <w:pStyle w:val="Heading1"/>
      </w:pPr>
      <w:r>
        <w:rPr>
          <w:b/>
          <w:color w:val="1F2A44"/>
          <w:sz w:val="30"/>
        </w:rPr>
        <w:t>Section 5 — FMCG Competitive Analysis</w:t>
      </w:r>
    </w:p>
    <w:p>
      <w:r>
        <w:rPr>
          <w:b w:val="0"/>
          <w:i w:val="0"/>
          <w:color w:val="1A1A1A"/>
          <w:sz w:val="18"/>
        </w:rPr>
        <w:t>Positioning assessment vs representative alternatives (general market characterisation, not vendor-confidential data). Scale: Strong / Adequate / Limited / Absent.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448"/>
            <w:shd w:val="clear" w:color="auto" w:fill="1F2A44"/>
          </w:tcPr>
          <w:p>
            <w:r/>
            <w:r>
              <w:rPr>
                <w:rFonts w:ascii="Calibri" w:hAnsi="Calibri"/>
                <w:b/>
                <w:color w:val="FFFFFF"/>
                <w:sz w:val="17"/>
              </w:rPr>
              <w:t>Capability</w:t>
            </w:r>
          </w:p>
        </w:tc>
        <w:tc>
          <w:tcPr>
            <w:tcW w:type="dxa" w:w="1368"/>
            <w:shd w:val="clear" w:color="auto" w:fill="1F2A44"/>
          </w:tcPr>
          <w:p>
            <w:r/>
            <w:r>
              <w:rPr>
                <w:rFonts w:ascii="Calibri" w:hAnsi="Calibri"/>
                <w:b/>
                <w:color w:val="FFFFFF"/>
                <w:sz w:val="17"/>
              </w:rPr>
              <w:t>VANTORA</w:t>
            </w:r>
          </w:p>
        </w:tc>
        <w:tc>
          <w:tcPr>
            <w:tcW w:type="dxa" w:w="1224"/>
            <w:shd w:val="clear" w:color="auto" w:fill="1F2A44"/>
          </w:tcPr>
          <w:p>
            <w:r/>
            <w:r>
              <w:rPr>
                <w:rFonts w:ascii="Calibri" w:hAnsi="Calibri"/>
                <w:b/>
                <w:color w:val="FFFFFF"/>
                <w:sz w:val="17"/>
              </w:rPr>
              <w:t>SalesBuzz</w:t>
            </w:r>
          </w:p>
        </w:tc>
        <w:tc>
          <w:tcPr>
            <w:tcW w:type="dxa" w:w="1008"/>
            <w:shd w:val="clear" w:color="auto" w:fill="1F2A44"/>
          </w:tcPr>
          <w:p>
            <w:r/>
            <w:r>
              <w:rPr>
                <w:rFonts w:ascii="Calibri" w:hAnsi="Calibri"/>
                <w:b/>
                <w:color w:val="FFFFFF"/>
                <w:sz w:val="17"/>
              </w:rPr>
              <w:t>Odoo</w:t>
            </w:r>
          </w:p>
        </w:tc>
        <w:tc>
          <w:tcPr>
            <w:tcW w:type="dxa" w:w="1008"/>
            <w:shd w:val="clear" w:color="auto" w:fill="1F2A44"/>
          </w:tcPr>
          <w:p>
            <w:r/>
            <w:r>
              <w:rPr>
                <w:rFonts w:ascii="Calibri" w:hAnsi="Calibri"/>
                <w:b/>
                <w:color w:val="FFFFFF"/>
                <w:sz w:val="17"/>
              </w:rPr>
              <w:t>Zoho</w:t>
            </w:r>
          </w:p>
        </w:tc>
        <w:tc>
          <w:tcPr>
            <w:tcW w:type="dxa" w:w="1008"/>
            <w:shd w:val="clear" w:color="auto" w:fill="1F2A44"/>
          </w:tcPr>
          <w:p>
            <w:r/>
            <w:r>
              <w:rPr>
                <w:rFonts w:ascii="Calibri" w:hAnsi="Calibri"/>
                <w:b/>
                <w:color w:val="FFFFFF"/>
                <w:sz w:val="17"/>
              </w:rPr>
              <w:t>Daftra</w:t>
            </w:r>
          </w:p>
        </w:tc>
        <w:tc>
          <w:tcPr>
            <w:tcW w:type="dxa" w:w="2016"/>
            <w:shd w:val="clear" w:color="auto" w:fill="1F2A44"/>
          </w:tcPr>
          <w:p>
            <w:r/>
            <w:r>
              <w:rPr>
                <w:rFonts w:ascii="Calibri" w:hAnsi="Calibri"/>
                <w:b/>
                <w:color w:val="FFFFFF"/>
                <w:sz w:val="17"/>
              </w:rPr>
              <w:t>Traditional Distribution ERP</w:t>
            </w:r>
          </w:p>
        </w:tc>
      </w:tr>
      <w:tr>
        <w:tc>
          <w:tcPr>
            <w:tcW w:type="dxa" w:w="2448"/>
          </w:tcPr>
          <w:p>
            <w:r/>
            <w:r>
              <w:rPr>
                <w:rFonts w:ascii="Calibri" w:hAnsi="Calibri"/>
                <w:b w:val="0"/>
                <w:sz w:val="17"/>
              </w:rPr>
              <w:t>Route Management</w:t>
            </w:r>
          </w:p>
        </w:tc>
        <w:tc>
          <w:tcPr>
            <w:tcW w:type="dxa" w:w="1368"/>
          </w:tcPr>
          <w:p>
            <w:r/>
            <w:r>
              <w:rPr>
                <w:rFonts w:ascii="Calibri" w:hAnsi="Calibri"/>
                <w:b w:val="0"/>
                <w:sz w:val="17"/>
              </w:rPr>
              <w:t>Strong (gated)</w:t>
            </w:r>
          </w:p>
        </w:tc>
        <w:tc>
          <w:tcPr>
            <w:tcW w:type="dxa" w:w="1224"/>
          </w:tcPr>
          <w:p>
            <w:r/>
            <w:r>
              <w:rPr>
                <w:rFonts w:ascii="Calibri" w:hAnsi="Calibri"/>
                <w:b w:val="0"/>
                <w:sz w:val="17"/>
              </w:rPr>
              <w:t>Strong</w:t>
            </w:r>
          </w:p>
        </w:tc>
        <w:tc>
          <w:tcPr>
            <w:tcW w:type="dxa" w:w="1008"/>
          </w:tcPr>
          <w:p>
            <w:r/>
            <w:r>
              <w:rPr>
                <w:rFonts w:ascii="Calibri" w:hAnsi="Calibri"/>
                <w:b w:val="0"/>
                <w:sz w:val="17"/>
              </w:rPr>
              <w:t>Adequate</w:t>
            </w:r>
          </w:p>
        </w:tc>
        <w:tc>
          <w:tcPr>
            <w:tcW w:type="dxa" w:w="1008"/>
          </w:tcPr>
          <w:p>
            <w:r/>
            <w:r>
              <w:rPr>
                <w:rFonts w:ascii="Calibri" w:hAnsi="Calibri"/>
                <w:b w:val="0"/>
                <w:sz w:val="17"/>
              </w:rPr>
              <w:t>Limited</w:t>
            </w:r>
          </w:p>
        </w:tc>
        <w:tc>
          <w:tcPr>
            <w:tcW w:type="dxa" w:w="1008"/>
          </w:tcPr>
          <w:p>
            <w:r/>
            <w:r>
              <w:rPr>
                <w:rFonts w:ascii="Calibri" w:hAnsi="Calibri"/>
                <w:b w:val="0"/>
                <w:sz w:val="17"/>
              </w:rPr>
              <w:t>Limited</w:t>
            </w:r>
          </w:p>
        </w:tc>
        <w:tc>
          <w:tcPr>
            <w:tcW w:type="dxa" w:w="2016"/>
          </w:tcPr>
          <w:p>
            <w:r/>
            <w:r>
              <w:rPr>
                <w:rFonts w:ascii="Calibri" w:hAnsi="Calibri"/>
                <w:b w:val="0"/>
                <w:sz w:val="17"/>
              </w:rPr>
              <w:t>Adequate (heavy)</w:t>
            </w:r>
          </w:p>
        </w:tc>
      </w:tr>
      <w:tr>
        <w:tc>
          <w:tcPr>
            <w:tcW w:type="dxa" w:w="2448"/>
            <w:shd w:val="clear" w:color="auto" w:fill="F2F4F8"/>
          </w:tcPr>
          <w:p>
            <w:r/>
            <w:r>
              <w:rPr>
                <w:rFonts w:ascii="Calibri" w:hAnsi="Calibri"/>
                <w:b w:val="0"/>
                <w:sz w:val="17"/>
              </w:rPr>
              <w:t>Van Sales</w:t>
            </w:r>
          </w:p>
        </w:tc>
        <w:tc>
          <w:tcPr>
            <w:tcW w:type="dxa" w:w="1368"/>
            <w:shd w:val="clear" w:color="auto" w:fill="F2F4F8"/>
          </w:tcPr>
          <w:p>
            <w:r/>
            <w:r>
              <w:rPr>
                <w:rFonts w:ascii="Calibri" w:hAnsi="Calibri"/>
                <w:b w:val="0"/>
                <w:sz w:val="17"/>
              </w:rPr>
              <w:t>Strong (gated)</w:t>
            </w:r>
          </w:p>
        </w:tc>
        <w:tc>
          <w:tcPr>
            <w:tcW w:type="dxa" w:w="1224"/>
            <w:shd w:val="clear" w:color="auto" w:fill="F2F4F8"/>
          </w:tcPr>
          <w:p>
            <w:r/>
            <w:r>
              <w:rPr>
                <w:rFonts w:ascii="Calibri" w:hAnsi="Calibri"/>
                <w:b w:val="0"/>
                <w:sz w:val="17"/>
              </w:rPr>
              <w:t>Strong</w:t>
            </w:r>
          </w:p>
        </w:tc>
        <w:tc>
          <w:tcPr>
            <w:tcW w:type="dxa" w:w="1008"/>
            <w:shd w:val="clear" w:color="auto" w:fill="F2F4F8"/>
          </w:tcPr>
          <w:p>
            <w:r/>
            <w:r>
              <w:rPr>
                <w:rFonts w:ascii="Calibri" w:hAnsi="Calibri"/>
                <w:b w:val="0"/>
                <w:sz w:val="17"/>
              </w:rPr>
              <w:t>Adequate</w:t>
            </w:r>
          </w:p>
        </w:tc>
        <w:tc>
          <w:tcPr>
            <w:tcW w:type="dxa" w:w="1008"/>
            <w:shd w:val="clear" w:color="auto" w:fill="F2F4F8"/>
          </w:tcPr>
          <w:p>
            <w:r/>
            <w:r>
              <w:rPr>
                <w:rFonts w:ascii="Calibri" w:hAnsi="Calibri"/>
                <w:b w:val="0"/>
                <w:sz w:val="17"/>
              </w:rPr>
              <w:t>Limited</w:t>
            </w:r>
          </w:p>
        </w:tc>
        <w:tc>
          <w:tcPr>
            <w:tcW w:type="dxa" w:w="1008"/>
            <w:shd w:val="clear" w:color="auto" w:fill="F2F4F8"/>
          </w:tcPr>
          <w:p>
            <w:r/>
            <w:r>
              <w:rPr>
                <w:rFonts w:ascii="Calibri" w:hAnsi="Calibri"/>
                <w:b w:val="0"/>
                <w:sz w:val="17"/>
              </w:rPr>
              <w:t>Limited</w:t>
            </w:r>
          </w:p>
        </w:tc>
        <w:tc>
          <w:tcPr>
            <w:tcW w:type="dxa" w:w="2016"/>
            <w:shd w:val="clear" w:color="auto" w:fill="F2F4F8"/>
          </w:tcPr>
          <w:p>
            <w:r/>
            <w:r>
              <w:rPr>
                <w:rFonts w:ascii="Calibri" w:hAnsi="Calibri"/>
                <w:b w:val="0"/>
                <w:sz w:val="17"/>
              </w:rPr>
              <w:t>Adequate</w:t>
            </w:r>
          </w:p>
        </w:tc>
      </w:tr>
      <w:tr>
        <w:tc>
          <w:tcPr>
            <w:tcW w:type="dxa" w:w="2448"/>
          </w:tcPr>
          <w:p>
            <w:r/>
            <w:r>
              <w:rPr>
                <w:rFonts w:ascii="Calibri" w:hAnsi="Calibri"/>
                <w:b w:val="0"/>
                <w:sz w:val="17"/>
              </w:rPr>
              <w:t>Trade Spend</w:t>
            </w:r>
          </w:p>
        </w:tc>
        <w:tc>
          <w:tcPr>
            <w:tcW w:type="dxa" w:w="1368"/>
          </w:tcPr>
          <w:p>
            <w:r/>
            <w:r>
              <w:rPr>
                <w:rFonts w:ascii="Calibri" w:hAnsi="Calibri"/>
                <w:b w:val="0"/>
                <w:sz w:val="17"/>
              </w:rPr>
              <w:t>Adequate (early)</w:t>
            </w:r>
          </w:p>
        </w:tc>
        <w:tc>
          <w:tcPr>
            <w:tcW w:type="dxa" w:w="1224"/>
          </w:tcPr>
          <w:p>
            <w:r/>
            <w:r>
              <w:rPr>
                <w:rFonts w:ascii="Calibri" w:hAnsi="Calibri"/>
                <w:b w:val="0"/>
                <w:sz w:val="17"/>
              </w:rPr>
              <w:t>Limited</w:t>
            </w:r>
          </w:p>
        </w:tc>
        <w:tc>
          <w:tcPr>
            <w:tcW w:type="dxa" w:w="1008"/>
          </w:tcPr>
          <w:p>
            <w:r/>
            <w:r>
              <w:rPr>
                <w:rFonts w:ascii="Calibri" w:hAnsi="Calibri"/>
                <w:b w:val="0"/>
                <w:sz w:val="17"/>
              </w:rPr>
              <w:t>Limited</w:t>
            </w:r>
          </w:p>
        </w:tc>
        <w:tc>
          <w:tcPr>
            <w:tcW w:type="dxa" w:w="1008"/>
          </w:tcPr>
          <w:p>
            <w:r/>
            <w:r>
              <w:rPr>
                <w:rFonts w:ascii="Calibri" w:hAnsi="Calibri"/>
                <w:b w:val="0"/>
                <w:sz w:val="17"/>
              </w:rPr>
              <w:t>Absent</w:t>
            </w:r>
          </w:p>
        </w:tc>
        <w:tc>
          <w:tcPr>
            <w:tcW w:type="dxa" w:w="1008"/>
          </w:tcPr>
          <w:p>
            <w:r/>
            <w:r>
              <w:rPr>
                <w:rFonts w:ascii="Calibri" w:hAnsi="Calibri"/>
                <w:b w:val="0"/>
                <w:sz w:val="17"/>
              </w:rPr>
              <w:t>Absent</w:t>
            </w:r>
          </w:p>
        </w:tc>
        <w:tc>
          <w:tcPr>
            <w:tcW w:type="dxa" w:w="2016"/>
          </w:tcPr>
          <w:p>
            <w:r/>
            <w:r>
              <w:rPr>
                <w:rFonts w:ascii="Calibri" w:hAnsi="Calibri"/>
                <w:b w:val="0"/>
                <w:sz w:val="17"/>
              </w:rPr>
              <w:t>Limited</w:t>
            </w:r>
          </w:p>
        </w:tc>
      </w:tr>
      <w:tr>
        <w:tc>
          <w:tcPr>
            <w:tcW w:type="dxa" w:w="2448"/>
            <w:shd w:val="clear" w:color="auto" w:fill="F2F4F8"/>
          </w:tcPr>
          <w:p>
            <w:r/>
            <w:r>
              <w:rPr>
                <w:rFonts w:ascii="Calibri" w:hAnsi="Calibri"/>
                <w:b w:val="0"/>
                <w:sz w:val="17"/>
              </w:rPr>
              <w:t>Merchandising / Perfect Store</w:t>
            </w:r>
          </w:p>
        </w:tc>
        <w:tc>
          <w:tcPr>
            <w:tcW w:type="dxa" w:w="1368"/>
            <w:shd w:val="clear" w:color="auto" w:fill="F2F4F8"/>
          </w:tcPr>
          <w:p>
            <w:r/>
            <w:r>
              <w:rPr>
                <w:rFonts w:ascii="Calibri" w:hAnsi="Calibri"/>
                <w:b w:val="0"/>
                <w:sz w:val="17"/>
              </w:rPr>
              <w:t>Adequate</w:t>
            </w:r>
          </w:p>
        </w:tc>
        <w:tc>
          <w:tcPr>
            <w:tcW w:type="dxa" w:w="1224"/>
            <w:shd w:val="clear" w:color="auto" w:fill="F2F4F8"/>
          </w:tcPr>
          <w:p>
            <w:r/>
            <w:r>
              <w:rPr>
                <w:rFonts w:ascii="Calibri" w:hAnsi="Calibri"/>
                <w:b w:val="0"/>
                <w:sz w:val="17"/>
              </w:rPr>
              <w:t>Adequate</w:t>
            </w:r>
          </w:p>
        </w:tc>
        <w:tc>
          <w:tcPr>
            <w:tcW w:type="dxa" w:w="1008"/>
            <w:shd w:val="clear" w:color="auto" w:fill="F2F4F8"/>
          </w:tcPr>
          <w:p>
            <w:r/>
            <w:r>
              <w:rPr>
                <w:rFonts w:ascii="Calibri" w:hAnsi="Calibri"/>
                <w:b w:val="0"/>
                <w:sz w:val="17"/>
              </w:rPr>
              <w:t>Limited</w:t>
            </w:r>
          </w:p>
        </w:tc>
        <w:tc>
          <w:tcPr>
            <w:tcW w:type="dxa" w:w="1008"/>
            <w:shd w:val="clear" w:color="auto" w:fill="F2F4F8"/>
          </w:tcPr>
          <w:p>
            <w:r/>
            <w:r>
              <w:rPr>
                <w:rFonts w:ascii="Calibri" w:hAnsi="Calibri"/>
                <w:b w:val="0"/>
                <w:sz w:val="17"/>
              </w:rPr>
              <w:t>Absent</w:t>
            </w:r>
          </w:p>
        </w:tc>
        <w:tc>
          <w:tcPr>
            <w:tcW w:type="dxa" w:w="1008"/>
            <w:shd w:val="clear" w:color="auto" w:fill="F2F4F8"/>
          </w:tcPr>
          <w:p>
            <w:r/>
            <w:r>
              <w:rPr>
                <w:rFonts w:ascii="Calibri" w:hAnsi="Calibri"/>
                <w:b w:val="0"/>
                <w:sz w:val="17"/>
              </w:rPr>
              <w:t>Absent</w:t>
            </w:r>
          </w:p>
        </w:tc>
        <w:tc>
          <w:tcPr>
            <w:tcW w:type="dxa" w:w="2016"/>
            <w:shd w:val="clear" w:color="auto" w:fill="F2F4F8"/>
          </w:tcPr>
          <w:p>
            <w:r/>
            <w:r>
              <w:rPr>
                <w:rFonts w:ascii="Calibri" w:hAnsi="Calibri"/>
                <w:b w:val="0"/>
                <w:sz w:val="17"/>
              </w:rPr>
              <w:t>Limited</w:t>
            </w:r>
          </w:p>
        </w:tc>
      </w:tr>
      <w:tr>
        <w:tc>
          <w:tcPr>
            <w:tcW w:type="dxa" w:w="2448"/>
          </w:tcPr>
          <w:p>
            <w:r/>
            <w:r>
              <w:rPr>
                <w:rFonts w:ascii="Calibri" w:hAnsi="Calibri"/>
                <w:b w:val="0"/>
                <w:sz w:val="17"/>
              </w:rPr>
              <w:t>Mobile field execution</w:t>
            </w:r>
          </w:p>
        </w:tc>
        <w:tc>
          <w:tcPr>
            <w:tcW w:type="dxa" w:w="1368"/>
          </w:tcPr>
          <w:p>
            <w:r/>
            <w:r>
              <w:rPr>
                <w:rFonts w:ascii="Calibri" w:hAnsi="Calibri"/>
                <w:b w:val="0"/>
                <w:sz w:val="17"/>
              </w:rPr>
              <w:t>Adequate (web+offline)</w:t>
            </w:r>
          </w:p>
        </w:tc>
        <w:tc>
          <w:tcPr>
            <w:tcW w:type="dxa" w:w="1224"/>
          </w:tcPr>
          <w:p>
            <w:r/>
            <w:r>
              <w:rPr>
                <w:rFonts w:ascii="Calibri" w:hAnsi="Calibri"/>
                <w:b w:val="0"/>
                <w:sz w:val="17"/>
              </w:rPr>
              <w:t>Strong (native)</w:t>
            </w:r>
          </w:p>
        </w:tc>
        <w:tc>
          <w:tcPr>
            <w:tcW w:type="dxa" w:w="1008"/>
          </w:tcPr>
          <w:p>
            <w:r/>
            <w:r>
              <w:rPr>
                <w:rFonts w:ascii="Calibri" w:hAnsi="Calibri"/>
                <w:b w:val="0"/>
                <w:sz w:val="17"/>
              </w:rPr>
              <w:t>Adequate</w:t>
            </w:r>
          </w:p>
        </w:tc>
        <w:tc>
          <w:tcPr>
            <w:tcW w:type="dxa" w:w="1008"/>
          </w:tcPr>
          <w:p>
            <w:r/>
            <w:r>
              <w:rPr>
                <w:rFonts w:ascii="Calibri" w:hAnsi="Calibri"/>
                <w:b w:val="0"/>
                <w:sz w:val="17"/>
              </w:rPr>
              <w:t>Adequate</w:t>
            </w:r>
          </w:p>
        </w:tc>
        <w:tc>
          <w:tcPr>
            <w:tcW w:type="dxa" w:w="1008"/>
          </w:tcPr>
          <w:p>
            <w:r/>
            <w:r>
              <w:rPr>
                <w:rFonts w:ascii="Calibri" w:hAnsi="Calibri"/>
                <w:b w:val="0"/>
                <w:sz w:val="17"/>
              </w:rPr>
              <w:t>Limited</w:t>
            </w:r>
          </w:p>
        </w:tc>
        <w:tc>
          <w:tcPr>
            <w:tcW w:type="dxa" w:w="2016"/>
          </w:tcPr>
          <w:p>
            <w:r/>
            <w:r>
              <w:rPr>
                <w:rFonts w:ascii="Calibri" w:hAnsi="Calibri"/>
                <w:b w:val="0"/>
                <w:sz w:val="17"/>
              </w:rPr>
              <w:t>Limited</w:t>
            </w:r>
          </w:p>
        </w:tc>
      </w:tr>
      <w:tr>
        <w:tc>
          <w:tcPr>
            <w:tcW w:type="dxa" w:w="2448"/>
            <w:shd w:val="clear" w:color="auto" w:fill="F2F4F8"/>
          </w:tcPr>
          <w:p>
            <w:r/>
            <w:r>
              <w:rPr>
                <w:rFonts w:ascii="Calibri" w:hAnsi="Calibri"/>
                <w:b w:val="0"/>
                <w:sz w:val="17"/>
              </w:rPr>
              <w:t>Multi-company / multi-tenant</w:t>
            </w:r>
          </w:p>
        </w:tc>
        <w:tc>
          <w:tcPr>
            <w:tcW w:type="dxa" w:w="1368"/>
            <w:shd w:val="clear" w:color="auto" w:fill="F2F4F8"/>
          </w:tcPr>
          <w:p>
            <w:r/>
            <w:r>
              <w:rPr>
                <w:rFonts w:ascii="Calibri" w:hAnsi="Calibri"/>
                <w:b w:val="0"/>
                <w:sz w:val="17"/>
              </w:rPr>
              <w:t>Strong</w:t>
            </w:r>
          </w:p>
        </w:tc>
        <w:tc>
          <w:tcPr>
            <w:tcW w:type="dxa" w:w="1224"/>
            <w:shd w:val="clear" w:color="auto" w:fill="F2F4F8"/>
          </w:tcPr>
          <w:p>
            <w:r/>
            <w:r>
              <w:rPr>
                <w:rFonts w:ascii="Calibri" w:hAnsi="Calibri"/>
                <w:b w:val="0"/>
                <w:sz w:val="17"/>
              </w:rPr>
              <w:t>Limited</w:t>
            </w:r>
          </w:p>
        </w:tc>
        <w:tc>
          <w:tcPr>
            <w:tcW w:type="dxa" w:w="1008"/>
            <w:shd w:val="clear" w:color="auto" w:fill="F2F4F8"/>
          </w:tcPr>
          <w:p>
            <w:r/>
            <w:r>
              <w:rPr>
                <w:rFonts w:ascii="Calibri" w:hAnsi="Calibri"/>
                <w:b w:val="0"/>
                <w:sz w:val="17"/>
              </w:rPr>
              <w:t>Adequate</w:t>
            </w:r>
          </w:p>
        </w:tc>
        <w:tc>
          <w:tcPr>
            <w:tcW w:type="dxa" w:w="1008"/>
            <w:shd w:val="clear" w:color="auto" w:fill="F2F4F8"/>
          </w:tcPr>
          <w:p>
            <w:r/>
            <w:r>
              <w:rPr>
                <w:rFonts w:ascii="Calibri" w:hAnsi="Calibri"/>
                <w:b w:val="0"/>
                <w:sz w:val="17"/>
              </w:rPr>
              <w:t>Adequate</w:t>
            </w:r>
          </w:p>
        </w:tc>
        <w:tc>
          <w:tcPr>
            <w:tcW w:type="dxa" w:w="1008"/>
            <w:shd w:val="clear" w:color="auto" w:fill="F2F4F8"/>
          </w:tcPr>
          <w:p>
            <w:r/>
            <w:r>
              <w:rPr>
                <w:rFonts w:ascii="Calibri" w:hAnsi="Calibri"/>
                <w:b w:val="0"/>
                <w:sz w:val="17"/>
              </w:rPr>
              <w:t>Adequate</w:t>
            </w:r>
          </w:p>
        </w:tc>
        <w:tc>
          <w:tcPr>
            <w:tcW w:type="dxa" w:w="2016"/>
            <w:shd w:val="clear" w:color="auto" w:fill="F2F4F8"/>
          </w:tcPr>
          <w:p>
            <w:r/>
            <w:r>
              <w:rPr>
                <w:rFonts w:ascii="Calibri" w:hAnsi="Calibri"/>
                <w:b w:val="0"/>
                <w:sz w:val="17"/>
              </w:rPr>
              <w:t>Limited (per-install)</w:t>
            </w:r>
          </w:p>
        </w:tc>
      </w:tr>
      <w:tr>
        <w:tc>
          <w:tcPr>
            <w:tcW w:type="dxa" w:w="2448"/>
          </w:tcPr>
          <w:p>
            <w:r/>
            <w:r>
              <w:rPr>
                <w:rFonts w:ascii="Calibri" w:hAnsi="Calibri"/>
                <w:b w:val="0"/>
                <w:sz w:val="17"/>
              </w:rPr>
              <w:t>Workflow flexibility</w:t>
            </w:r>
          </w:p>
        </w:tc>
        <w:tc>
          <w:tcPr>
            <w:tcW w:type="dxa" w:w="1368"/>
          </w:tcPr>
          <w:p>
            <w:r/>
            <w:r>
              <w:rPr>
                <w:rFonts w:ascii="Calibri" w:hAnsi="Calibri"/>
                <w:b w:val="0"/>
                <w:sz w:val="17"/>
              </w:rPr>
              <w:t>Adequate</w:t>
            </w:r>
          </w:p>
        </w:tc>
        <w:tc>
          <w:tcPr>
            <w:tcW w:type="dxa" w:w="1224"/>
          </w:tcPr>
          <w:p>
            <w:r/>
            <w:r>
              <w:rPr>
                <w:rFonts w:ascii="Calibri" w:hAnsi="Calibri"/>
                <w:b w:val="0"/>
                <w:sz w:val="17"/>
              </w:rPr>
              <w:t>Limited</w:t>
            </w:r>
          </w:p>
        </w:tc>
        <w:tc>
          <w:tcPr>
            <w:tcW w:type="dxa" w:w="1008"/>
          </w:tcPr>
          <w:p>
            <w:r/>
            <w:r>
              <w:rPr>
                <w:rFonts w:ascii="Calibri" w:hAnsi="Calibri"/>
                <w:b w:val="0"/>
                <w:sz w:val="17"/>
              </w:rPr>
              <w:t>Strong</w:t>
            </w:r>
          </w:p>
        </w:tc>
        <w:tc>
          <w:tcPr>
            <w:tcW w:type="dxa" w:w="1008"/>
          </w:tcPr>
          <w:p>
            <w:r/>
            <w:r>
              <w:rPr>
                <w:rFonts w:ascii="Calibri" w:hAnsi="Calibri"/>
                <w:b w:val="0"/>
                <w:sz w:val="17"/>
              </w:rPr>
              <w:t>Adequate</w:t>
            </w:r>
          </w:p>
        </w:tc>
        <w:tc>
          <w:tcPr>
            <w:tcW w:type="dxa" w:w="1008"/>
          </w:tcPr>
          <w:p>
            <w:r/>
            <w:r>
              <w:rPr>
                <w:rFonts w:ascii="Calibri" w:hAnsi="Calibri"/>
                <w:b w:val="0"/>
                <w:sz w:val="17"/>
              </w:rPr>
              <w:t>Limited</w:t>
            </w:r>
          </w:p>
        </w:tc>
        <w:tc>
          <w:tcPr>
            <w:tcW w:type="dxa" w:w="2016"/>
          </w:tcPr>
          <w:p>
            <w:r/>
            <w:r>
              <w:rPr>
                <w:rFonts w:ascii="Calibri" w:hAnsi="Calibri"/>
                <w:b w:val="0"/>
                <w:sz w:val="17"/>
              </w:rPr>
              <w:t>Adequate</w:t>
            </w:r>
          </w:p>
        </w:tc>
      </w:tr>
      <w:tr>
        <w:tc>
          <w:tcPr>
            <w:tcW w:type="dxa" w:w="2448"/>
            <w:shd w:val="clear" w:color="auto" w:fill="F2F4F8"/>
          </w:tcPr>
          <w:p>
            <w:r/>
            <w:r>
              <w:rPr>
                <w:rFonts w:ascii="Calibri" w:hAnsi="Calibri"/>
                <w:b w:val="0"/>
                <w:sz w:val="17"/>
              </w:rPr>
              <w:t>Industry-pack breadth</w:t>
            </w:r>
          </w:p>
        </w:tc>
        <w:tc>
          <w:tcPr>
            <w:tcW w:type="dxa" w:w="1368"/>
            <w:shd w:val="clear" w:color="auto" w:fill="F2F4F8"/>
          </w:tcPr>
          <w:p>
            <w:r/>
            <w:r>
              <w:rPr>
                <w:rFonts w:ascii="Calibri" w:hAnsi="Calibri"/>
                <w:b w:val="0"/>
                <w:sz w:val="17"/>
              </w:rPr>
              <w:t>Strong</w:t>
            </w:r>
          </w:p>
        </w:tc>
        <w:tc>
          <w:tcPr>
            <w:tcW w:type="dxa" w:w="1224"/>
            <w:shd w:val="clear" w:color="auto" w:fill="F2F4F8"/>
          </w:tcPr>
          <w:p>
            <w:r/>
            <w:r>
              <w:rPr>
                <w:rFonts w:ascii="Calibri" w:hAnsi="Calibri"/>
                <w:b w:val="0"/>
                <w:sz w:val="17"/>
              </w:rPr>
              <w:t>Absent</w:t>
            </w:r>
          </w:p>
        </w:tc>
        <w:tc>
          <w:tcPr>
            <w:tcW w:type="dxa" w:w="1008"/>
            <w:shd w:val="clear" w:color="auto" w:fill="F2F4F8"/>
          </w:tcPr>
          <w:p>
            <w:r/>
            <w:r>
              <w:rPr>
                <w:rFonts w:ascii="Calibri" w:hAnsi="Calibri"/>
                <w:b w:val="0"/>
                <w:sz w:val="17"/>
              </w:rPr>
              <w:t>Strong</w:t>
            </w:r>
          </w:p>
        </w:tc>
        <w:tc>
          <w:tcPr>
            <w:tcW w:type="dxa" w:w="1008"/>
            <w:shd w:val="clear" w:color="auto" w:fill="F2F4F8"/>
          </w:tcPr>
          <w:p>
            <w:r/>
            <w:r>
              <w:rPr>
                <w:rFonts w:ascii="Calibri" w:hAnsi="Calibri"/>
                <w:b w:val="0"/>
                <w:sz w:val="17"/>
              </w:rPr>
              <w:t>Adequate</w:t>
            </w:r>
          </w:p>
        </w:tc>
        <w:tc>
          <w:tcPr>
            <w:tcW w:type="dxa" w:w="1008"/>
            <w:shd w:val="clear" w:color="auto" w:fill="F2F4F8"/>
          </w:tcPr>
          <w:p>
            <w:r/>
            <w:r>
              <w:rPr>
                <w:rFonts w:ascii="Calibri" w:hAnsi="Calibri"/>
                <w:b w:val="0"/>
                <w:sz w:val="17"/>
              </w:rPr>
              <w:t>Limited</w:t>
            </w:r>
          </w:p>
        </w:tc>
        <w:tc>
          <w:tcPr>
            <w:tcW w:type="dxa" w:w="2016"/>
            <w:shd w:val="clear" w:color="auto" w:fill="F2F4F8"/>
          </w:tcPr>
          <w:p>
            <w:r/>
            <w:r>
              <w:rPr>
                <w:rFonts w:ascii="Calibri" w:hAnsi="Calibri"/>
                <w:b w:val="0"/>
                <w:sz w:val="17"/>
              </w:rPr>
              <w:t>Limited</w:t>
            </w:r>
          </w:p>
        </w:tc>
      </w:tr>
      <w:tr>
        <w:tc>
          <w:tcPr>
            <w:tcW w:type="dxa" w:w="2448"/>
          </w:tcPr>
          <w:p>
            <w:r/>
            <w:r>
              <w:rPr>
                <w:rFonts w:ascii="Calibri" w:hAnsi="Calibri"/>
                <w:b w:val="0"/>
                <w:sz w:val="17"/>
              </w:rPr>
              <w:t>Cost of ownership</w:t>
            </w:r>
          </w:p>
        </w:tc>
        <w:tc>
          <w:tcPr>
            <w:tcW w:type="dxa" w:w="1368"/>
          </w:tcPr>
          <w:p>
            <w:r/>
            <w:r>
              <w:rPr>
                <w:rFonts w:ascii="Calibri" w:hAnsi="Calibri"/>
                <w:b w:val="0"/>
                <w:sz w:val="17"/>
              </w:rPr>
              <w:t>Low (SaaS)</w:t>
            </w:r>
          </w:p>
        </w:tc>
        <w:tc>
          <w:tcPr>
            <w:tcW w:type="dxa" w:w="1224"/>
          </w:tcPr>
          <w:p>
            <w:r/>
            <w:r>
              <w:rPr>
                <w:rFonts w:ascii="Calibri" w:hAnsi="Calibri"/>
                <w:b w:val="0"/>
                <w:sz w:val="17"/>
              </w:rPr>
              <w:t>Medium</w:t>
            </w:r>
          </w:p>
        </w:tc>
        <w:tc>
          <w:tcPr>
            <w:tcW w:type="dxa" w:w="1008"/>
          </w:tcPr>
          <w:p>
            <w:r/>
            <w:r>
              <w:rPr>
                <w:rFonts w:ascii="Calibri" w:hAnsi="Calibri"/>
                <w:b w:val="0"/>
                <w:sz w:val="17"/>
              </w:rPr>
              <w:t>Med–High</w:t>
            </w:r>
          </w:p>
        </w:tc>
        <w:tc>
          <w:tcPr>
            <w:tcW w:type="dxa" w:w="1008"/>
          </w:tcPr>
          <w:p>
            <w:r/>
            <w:r>
              <w:rPr>
                <w:rFonts w:ascii="Calibri" w:hAnsi="Calibri"/>
                <w:b w:val="0"/>
                <w:sz w:val="17"/>
              </w:rPr>
              <w:t>Low–Med</w:t>
            </w:r>
          </w:p>
        </w:tc>
        <w:tc>
          <w:tcPr>
            <w:tcW w:type="dxa" w:w="1008"/>
          </w:tcPr>
          <w:p>
            <w:r/>
            <w:r>
              <w:rPr>
                <w:rFonts w:ascii="Calibri" w:hAnsi="Calibri"/>
                <w:b w:val="0"/>
                <w:sz w:val="17"/>
              </w:rPr>
              <w:t>Low</w:t>
            </w:r>
          </w:p>
        </w:tc>
        <w:tc>
          <w:tcPr>
            <w:tcW w:type="dxa" w:w="2016"/>
          </w:tcPr>
          <w:p>
            <w:r/>
            <w:r>
              <w:rPr>
                <w:rFonts w:ascii="Calibri" w:hAnsi="Calibri"/>
                <w:b w:val="0"/>
                <w:sz w:val="17"/>
              </w:rPr>
              <w:t>High (on-prem + services)</w:t>
            </w:r>
          </w:p>
        </w:tc>
      </w:tr>
      <w:tr>
        <w:tc>
          <w:tcPr>
            <w:tcW w:type="dxa" w:w="2448"/>
            <w:shd w:val="clear" w:color="auto" w:fill="F2F4F8"/>
          </w:tcPr>
          <w:p>
            <w:r/>
            <w:r>
              <w:rPr>
                <w:rFonts w:ascii="Calibri" w:hAnsi="Calibri"/>
                <w:b w:val="0"/>
                <w:sz w:val="17"/>
              </w:rPr>
              <w:t>Arabic / RTL + EG market fit</w:t>
            </w:r>
          </w:p>
        </w:tc>
        <w:tc>
          <w:tcPr>
            <w:tcW w:type="dxa" w:w="1368"/>
            <w:shd w:val="clear" w:color="auto" w:fill="F2F4F8"/>
          </w:tcPr>
          <w:p>
            <w:r/>
            <w:r>
              <w:rPr>
                <w:rFonts w:ascii="Calibri" w:hAnsi="Calibri"/>
                <w:b w:val="0"/>
                <w:sz w:val="17"/>
              </w:rPr>
              <w:t>Strong</w:t>
            </w:r>
          </w:p>
        </w:tc>
        <w:tc>
          <w:tcPr>
            <w:tcW w:type="dxa" w:w="1224"/>
            <w:shd w:val="clear" w:color="auto" w:fill="F2F4F8"/>
          </w:tcPr>
          <w:p>
            <w:r/>
            <w:r>
              <w:rPr>
                <w:rFonts w:ascii="Calibri" w:hAnsi="Calibri"/>
                <w:b w:val="0"/>
                <w:sz w:val="17"/>
              </w:rPr>
              <w:t>Strong</w:t>
            </w:r>
          </w:p>
        </w:tc>
        <w:tc>
          <w:tcPr>
            <w:tcW w:type="dxa" w:w="1008"/>
            <w:shd w:val="clear" w:color="auto" w:fill="F2F4F8"/>
          </w:tcPr>
          <w:p>
            <w:r/>
            <w:r>
              <w:rPr>
                <w:rFonts w:ascii="Calibri" w:hAnsi="Calibri"/>
                <w:b w:val="0"/>
                <w:sz w:val="17"/>
              </w:rPr>
              <w:t>Adequate</w:t>
            </w:r>
          </w:p>
        </w:tc>
        <w:tc>
          <w:tcPr>
            <w:tcW w:type="dxa" w:w="1008"/>
            <w:shd w:val="clear" w:color="auto" w:fill="F2F4F8"/>
          </w:tcPr>
          <w:p>
            <w:r/>
            <w:r>
              <w:rPr>
                <w:rFonts w:ascii="Calibri" w:hAnsi="Calibri"/>
                <w:b w:val="0"/>
                <w:sz w:val="17"/>
              </w:rPr>
              <w:t>Adequate</w:t>
            </w:r>
          </w:p>
        </w:tc>
        <w:tc>
          <w:tcPr>
            <w:tcW w:type="dxa" w:w="1008"/>
            <w:shd w:val="clear" w:color="auto" w:fill="F2F4F8"/>
          </w:tcPr>
          <w:p>
            <w:r/>
            <w:r>
              <w:rPr>
                <w:rFonts w:ascii="Calibri" w:hAnsi="Calibri"/>
                <w:b w:val="0"/>
                <w:sz w:val="17"/>
              </w:rPr>
              <w:t>Strong</w:t>
            </w:r>
          </w:p>
        </w:tc>
        <w:tc>
          <w:tcPr>
            <w:tcW w:type="dxa" w:w="2016"/>
            <w:shd w:val="clear" w:color="auto" w:fill="F2F4F8"/>
          </w:tcPr>
          <w:p>
            <w:r/>
            <w:r>
              <w:rPr>
                <w:rFonts w:ascii="Calibri" w:hAnsi="Calibri"/>
                <w:b w:val="0"/>
                <w:sz w:val="17"/>
              </w:rPr>
              <w:t>Varies</w:t>
            </w:r>
          </w:p>
        </w:tc>
      </w:tr>
    </w:tbl>
    <w:p>
      <w:r>
        <w:rPr>
          <w:b w:val="0"/>
          <w:i w:val="0"/>
          <w:color w:val="1A1A1A"/>
          <w:sz w:val="19"/>
        </w:rPr>
        <w:t>Competitive advantages (assessment): (1) one platform spanning distribution AND multiple verticals on a true multi-tenant core — most rivals are either single-domain (SalesBuzz) or broad-but-generic (Odoo/Zoho); (2) trade-spend + merchandising depth uncommon in SMB SaaS; (3) strong Arabic/RTL + Egypt-market fit with low SaaS TCO; (4) configuration-over-customisation via flags/packs. Caveat: SalesBuzz leads on mature native field execution; Odoo leads on ecosystem/extensibility — VANTORA must convert breadth into proven, hardened depth.</w:t>
      </w:r>
    </w:p>
    <w:p>
      <w:r>
        <w:br w:type="page"/>
      </w:r>
    </w:p>
    <w:p>
      <w:pPr>
        <w:pStyle w:val="Heading1"/>
      </w:pPr>
      <w:r>
        <w:rPr>
          <w:b/>
          <w:color w:val="1F2A44"/>
          <w:sz w:val="30"/>
        </w:rPr>
        <w:t>Section 6 — Strengths (ranked by strategic value)</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1F2A44"/>
          </w:tcPr>
          <w:p>
            <w:r/>
            <w:r>
              <w:rPr>
                <w:rFonts w:ascii="Calibri" w:hAnsi="Calibri"/>
                <w:b/>
                <w:color w:val="FFFFFF"/>
                <w:sz w:val="17"/>
              </w:rPr>
              <w:t>#</w:t>
            </w:r>
          </w:p>
        </w:tc>
        <w:tc>
          <w:tcPr>
            <w:tcW w:type="dxa" w:w="3600"/>
            <w:shd w:val="clear" w:color="auto" w:fill="1F2A44"/>
          </w:tcPr>
          <w:p>
            <w:r/>
            <w:r>
              <w:rPr>
                <w:rFonts w:ascii="Calibri" w:hAnsi="Calibri"/>
                <w:b/>
                <w:color w:val="FFFFFF"/>
                <w:sz w:val="17"/>
              </w:rPr>
              <w:t>Strength</w:t>
            </w:r>
          </w:p>
        </w:tc>
        <w:tc>
          <w:tcPr>
            <w:tcW w:type="dxa" w:w="6192"/>
            <w:shd w:val="clear" w:color="auto" w:fill="1F2A44"/>
          </w:tcPr>
          <w:p>
            <w:r/>
            <w:r>
              <w:rPr>
                <w:rFonts w:ascii="Calibri" w:hAnsi="Calibri"/>
                <w:b/>
                <w:color w:val="FFFFFF"/>
                <w:sz w:val="17"/>
              </w:rPr>
              <w:t>Why it matters</w:t>
            </w:r>
          </w:p>
        </w:tc>
      </w:tr>
      <w:tr>
        <w:tc>
          <w:tcPr>
            <w:tcW w:type="dxa" w:w="576"/>
          </w:tcPr>
          <w:p>
            <w:r/>
            <w:r>
              <w:rPr>
                <w:rFonts w:ascii="Calibri" w:hAnsi="Calibri"/>
                <w:b w:val="0"/>
                <w:sz w:val="17"/>
              </w:rPr>
              <w:t>1</w:t>
            </w:r>
          </w:p>
        </w:tc>
        <w:tc>
          <w:tcPr>
            <w:tcW w:type="dxa" w:w="3600"/>
          </w:tcPr>
          <w:p>
            <w:r/>
            <w:r>
              <w:rPr>
                <w:rFonts w:ascii="Calibri" w:hAnsi="Calibri"/>
                <w:b w:val="0"/>
                <w:sz w:val="17"/>
              </w:rPr>
              <w:t>Multi-tenant architecture (RLS-enforced)</w:t>
            </w:r>
          </w:p>
        </w:tc>
        <w:tc>
          <w:tcPr>
            <w:tcW w:type="dxa" w:w="6192"/>
          </w:tcPr>
          <w:p>
            <w:r/>
            <w:r>
              <w:rPr>
                <w:rFonts w:ascii="Calibri" w:hAnsi="Calibri"/>
                <w:b w:val="0"/>
                <w:sz w:val="17"/>
              </w:rPr>
              <w:t>Real DB-level isolation — the hard part of SaaS is already done correctly</w:t>
            </w:r>
          </w:p>
        </w:tc>
      </w:tr>
      <w:tr>
        <w:tc>
          <w:tcPr>
            <w:tcW w:type="dxa" w:w="576"/>
            <w:shd w:val="clear" w:color="auto" w:fill="F2F4F8"/>
          </w:tcPr>
          <w:p>
            <w:r/>
            <w:r>
              <w:rPr>
                <w:rFonts w:ascii="Calibri" w:hAnsi="Calibri"/>
                <w:b w:val="0"/>
                <w:sz w:val="17"/>
              </w:rPr>
              <w:t>2</w:t>
            </w:r>
          </w:p>
        </w:tc>
        <w:tc>
          <w:tcPr>
            <w:tcW w:type="dxa" w:w="3600"/>
            <w:shd w:val="clear" w:color="auto" w:fill="F2F4F8"/>
          </w:tcPr>
          <w:p>
            <w:r/>
            <w:r>
              <w:rPr>
                <w:rFonts w:ascii="Calibri" w:hAnsi="Calibri"/>
                <w:b w:val="0"/>
                <w:sz w:val="17"/>
              </w:rPr>
              <w:t>Permission model (90 perms + overrides, server-enforced)</w:t>
            </w:r>
          </w:p>
        </w:tc>
        <w:tc>
          <w:tcPr>
            <w:tcW w:type="dxa" w:w="6192"/>
            <w:shd w:val="clear" w:color="auto" w:fill="F2F4F8"/>
          </w:tcPr>
          <w:p>
            <w:r/>
            <w:r>
              <w:rPr>
                <w:rFonts w:ascii="Calibri" w:hAnsi="Calibri"/>
                <w:b w:val="0"/>
                <w:sz w:val="17"/>
              </w:rPr>
              <w:t>Enterprise-grade RBAC; sells to distributors with complex org structures</w:t>
            </w:r>
          </w:p>
        </w:tc>
      </w:tr>
      <w:tr>
        <w:tc>
          <w:tcPr>
            <w:tcW w:type="dxa" w:w="576"/>
          </w:tcPr>
          <w:p>
            <w:r/>
            <w:r>
              <w:rPr>
                <w:rFonts w:ascii="Calibri" w:hAnsi="Calibri"/>
                <w:b w:val="0"/>
                <w:sz w:val="17"/>
              </w:rPr>
              <w:t>3</w:t>
            </w:r>
          </w:p>
        </w:tc>
        <w:tc>
          <w:tcPr>
            <w:tcW w:type="dxa" w:w="3600"/>
          </w:tcPr>
          <w:p>
            <w:r/>
            <w:r>
              <w:rPr>
                <w:rFonts w:ascii="Calibri" w:hAnsi="Calibri"/>
                <w:b w:val="0"/>
                <w:sz w:val="17"/>
              </w:rPr>
              <w:t>Business-type / pack architecture</w:t>
            </w:r>
          </w:p>
        </w:tc>
        <w:tc>
          <w:tcPr>
            <w:tcW w:type="dxa" w:w="6192"/>
          </w:tcPr>
          <w:p>
            <w:r/>
            <w:r>
              <w:rPr>
                <w:rFonts w:ascii="Calibri" w:hAnsi="Calibri"/>
                <w:b w:val="0"/>
                <w:sz w:val="17"/>
              </w:rPr>
              <w:t>One codebase serves many verticals; expansion is configuration, not rebuild</w:t>
            </w:r>
          </w:p>
        </w:tc>
      </w:tr>
      <w:tr>
        <w:tc>
          <w:tcPr>
            <w:tcW w:type="dxa" w:w="576"/>
            <w:shd w:val="clear" w:color="auto" w:fill="F2F4F8"/>
          </w:tcPr>
          <w:p>
            <w:r/>
            <w:r>
              <w:rPr>
                <w:rFonts w:ascii="Calibri" w:hAnsi="Calibri"/>
                <w:b w:val="0"/>
                <w:sz w:val="17"/>
              </w:rPr>
              <w:t>4</w:t>
            </w:r>
          </w:p>
        </w:tc>
        <w:tc>
          <w:tcPr>
            <w:tcW w:type="dxa" w:w="3600"/>
            <w:shd w:val="clear" w:color="auto" w:fill="F2F4F8"/>
          </w:tcPr>
          <w:p>
            <w:r/>
            <w:r>
              <w:rPr>
                <w:rFonts w:ascii="Calibri" w:hAnsi="Calibri"/>
                <w:b w:val="0"/>
                <w:sz w:val="17"/>
              </w:rPr>
              <w:t>ERP foundation (sales→AR→GL, inventory, purchasing)</w:t>
            </w:r>
          </w:p>
        </w:tc>
        <w:tc>
          <w:tcPr>
            <w:tcW w:type="dxa" w:w="6192"/>
            <w:shd w:val="clear" w:color="auto" w:fill="F2F4F8"/>
          </w:tcPr>
          <w:p>
            <w:r/>
            <w:r>
              <w:rPr>
                <w:rFonts w:ascii="Calibri" w:hAnsi="Calibri"/>
                <w:b w:val="0"/>
                <w:sz w:val="17"/>
              </w:rPr>
              <w:t>Credible system-of-record, not a point tool</w:t>
            </w:r>
          </w:p>
        </w:tc>
      </w:tr>
      <w:tr>
        <w:tc>
          <w:tcPr>
            <w:tcW w:type="dxa" w:w="576"/>
          </w:tcPr>
          <w:p>
            <w:r/>
            <w:r>
              <w:rPr>
                <w:rFonts w:ascii="Calibri" w:hAnsi="Calibri"/>
                <w:b w:val="0"/>
                <w:sz w:val="17"/>
              </w:rPr>
              <w:t>5</w:t>
            </w:r>
          </w:p>
        </w:tc>
        <w:tc>
          <w:tcPr>
            <w:tcW w:type="dxa" w:w="3600"/>
          </w:tcPr>
          <w:p>
            <w:r/>
            <w:r>
              <w:rPr>
                <w:rFonts w:ascii="Calibri" w:hAnsi="Calibri"/>
                <w:b w:val="0"/>
                <w:sz w:val="17"/>
              </w:rPr>
              <w:t>FMCG/Distribution specialization</w:t>
            </w:r>
          </w:p>
        </w:tc>
        <w:tc>
          <w:tcPr>
            <w:tcW w:type="dxa" w:w="6192"/>
          </w:tcPr>
          <w:p>
            <w:r/>
            <w:r>
              <w:rPr>
                <w:rFonts w:ascii="Calibri" w:hAnsi="Calibri"/>
                <w:b w:val="0"/>
                <w:sz w:val="17"/>
              </w:rPr>
              <w:t>Route/van/trade-spend/merchandising — a defensible wedge vs generic ERPs</w:t>
            </w:r>
          </w:p>
        </w:tc>
      </w:tr>
      <w:tr>
        <w:tc>
          <w:tcPr>
            <w:tcW w:type="dxa" w:w="576"/>
            <w:shd w:val="clear" w:color="auto" w:fill="F2F4F8"/>
          </w:tcPr>
          <w:p>
            <w:r/>
            <w:r>
              <w:rPr>
                <w:rFonts w:ascii="Calibri" w:hAnsi="Calibri"/>
                <w:b w:val="0"/>
                <w:sz w:val="17"/>
              </w:rPr>
              <w:t>6</w:t>
            </w:r>
          </w:p>
        </w:tc>
        <w:tc>
          <w:tcPr>
            <w:tcW w:type="dxa" w:w="3600"/>
            <w:shd w:val="clear" w:color="auto" w:fill="F2F4F8"/>
          </w:tcPr>
          <w:p>
            <w:r/>
            <w:r>
              <w:rPr>
                <w:rFonts w:ascii="Calibri" w:hAnsi="Calibri"/>
                <w:b w:val="0"/>
                <w:sz w:val="17"/>
              </w:rPr>
              <w:t>Workflow + audit-first governance</w:t>
            </w:r>
          </w:p>
        </w:tc>
        <w:tc>
          <w:tcPr>
            <w:tcW w:type="dxa" w:w="6192"/>
            <w:shd w:val="clear" w:color="auto" w:fill="F2F4F8"/>
          </w:tcPr>
          <w:p>
            <w:r/>
            <w:r>
              <w:rPr>
                <w:rFonts w:ascii="Calibri" w:hAnsi="Calibri"/>
                <w:b w:val="0"/>
                <w:sz w:val="17"/>
              </w:rPr>
              <w:t>Approvals + full audit trail — trust for finance/regulated use</w:t>
            </w:r>
          </w:p>
        </w:tc>
      </w:tr>
      <w:tr>
        <w:tc>
          <w:tcPr>
            <w:tcW w:type="dxa" w:w="576"/>
          </w:tcPr>
          <w:p>
            <w:r/>
            <w:r>
              <w:rPr>
                <w:rFonts w:ascii="Calibri" w:hAnsi="Calibri"/>
                <w:b w:val="0"/>
                <w:sz w:val="17"/>
              </w:rPr>
              <w:t>7</w:t>
            </w:r>
          </w:p>
        </w:tc>
        <w:tc>
          <w:tcPr>
            <w:tcW w:type="dxa" w:w="3600"/>
          </w:tcPr>
          <w:p>
            <w:r/>
            <w:r>
              <w:rPr>
                <w:rFonts w:ascii="Calibri" w:hAnsi="Calibri"/>
                <w:b w:val="0"/>
                <w:sz w:val="17"/>
              </w:rPr>
              <w:t>Extensibility (feature flags, integration API)</w:t>
            </w:r>
          </w:p>
        </w:tc>
        <w:tc>
          <w:tcPr>
            <w:tcW w:type="dxa" w:w="6192"/>
          </w:tcPr>
          <w:p>
            <w:r/>
            <w:r>
              <w:rPr>
                <w:rFonts w:ascii="Calibri" w:hAnsi="Calibri"/>
                <w:b w:val="0"/>
                <w:sz w:val="17"/>
              </w:rPr>
              <w:t>Tiered monetisation + partner ecosystem potential</w:t>
            </w:r>
          </w:p>
        </w:tc>
      </w:tr>
      <w:tr>
        <w:tc>
          <w:tcPr>
            <w:tcW w:type="dxa" w:w="576"/>
            <w:shd w:val="clear" w:color="auto" w:fill="F2F4F8"/>
          </w:tcPr>
          <w:p>
            <w:r/>
            <w:r>
              <w:rPr>
                <w:rFonts w:ascii="Calibri" w:hAnsi="Calibri"/>
                <w:b w:val="0"/>
                <w:sz w:val="17"/>
              </w:rPr>
              <w:t>8</w:t>
            </w:r>
          </w:p>
        </w:tc>
        <w:tc>
          <w:tcPr>
            <w:tcW w:type="dxa" w:w="3600"/>
            <w:shd w:val="clear" w:color="auto" w:fill="F2F4F8"/>
          </w:tcPr>
          <w:p>
            <w:r/>
            <w:r>
              <w:rPr>
                <w:rFonts w:ascii="Calibri" w:hAnsi="Calibri"/>
                <w:b w:val="0"/>
                <w:sz w:val="17"/>
              </w:rPr>
              <w:t>SaaS economics</w:t>
            </w:r>
          </w:p>
        </w:tc>
        <w:tc>
          <w:tcPr>
            <w:tcW w:type="dxa" w:w="6192"/>
            <w:shd w:val="clear" w:color="auto" w:fill="F2F4F8"/>
          </w:tcPr>
          <w:p>
            <w:r/>
            <w:r>
              <w:rPr>
                <w:rFonts w:ascii="Calibri" w:hAnsi="Calibri"/>
                <w:b w:val="0"/>
                <w:sz w:val="17"/>
              </w:rPr>
              <w:t>Serverless + managed Postgres → low marginal cost per tenant</w:t>
            </w:r>
          </w:p>
        </w:tc>
      </w:tr>
    </w:tbl>
    <w:p>
      <w:pPr>
        <w:pStyle w:val="Heading1"/>
      </w:pPr>
      <w:r>
        <w:rPr>
          <w:b/>
          <w:color w:val="1F2A44"/>
          <w:sz w:val="30"/>
        </w:rPr>
        <w:t>Section 7 — Weaknesses &amp; Technical Debt</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color="auto" w:fill="1F2A44"/>
          </w:tcPr>
          <w:p>
            <w:r/>
            <w:r>
              <w:rPr>
                <w:rFonts w:ascii="Calibri" w:hAnsi="Calibri"/>
                <w:b/>
                <w:color w:val="FFFFFF"/>
                <w:sz w:val="17"/>
              </w:rPr>
              <w:t>Item</w:t>
            </w:r>
          </w:p>
        </w:tc>
        <w:tc>
          <w:tcPr>
            <w:tcW w:type="dxa" w:w="1152"/>
            <w:shd w:val="clear" w:color="auto" w:fill="1F2A44"/>
          </w:tcPr>
          <w:p>
            <w:r/>
            <w:r>
              <w:rPr>
                <w:rFonts w:ascii="Calibri" w:hAnsi="Calibri"/>
                <w:b/>
                <w:color w:val="FFFFFF"/>
                <w:sz w:val="17"/>
              </w:rPr>
              <w:t>Class</w:t>
            </w:r>
          </w:p>
        </w:tc>
        <w:tc>
          <w:tcPr>
            <w:tcW w:type="dxa" w:w="6192"/>
            <w:shd w:val="clear" w:color="auto" w:fill="1F2A44"/>
          </w:tcPr>
          <w:p>
            <w:r/>
            <w:r>
              <w:rPr>
                <w:rFonts w:ascii="Calibri" w:hAnsi="Calibri"/>
                <w:b/>
                <w:color w:val="FFFFFF"/>
                <w:sz w:val="17"/>
              </w:rPr>
              <w:t>Detail</w:t>
            </w:r>
          </w:p>
        </w:tc>
      </w:tr>
      <w:tr>
        <w:tc>
          <w:tcPr>
            <w:tcW w:type="dxa" w:w="3024"/>
          </w:tcPr>
          <w:p>
            <w:r/>
            <w:r>
              <w:rPr>
                <w:rFonts w:ascii="Calibri" w:hAnsi="Calibri"/>
                <w:b w:val="0"/>
                <w:sz w:val="17"/>
              </w:rPr>
              <w:t>Deployment/config fragility</w:t>
            </w:r>
          </w:p>
        </w:tc>
        <w:tc>
          <w:tcPr>
            <w:tcW w:type="dxa" w:w="1152"/>
            <w:shd w:val="clear" w:color="auto" w:fill="F8E3E3"/>
          </w:tcPr>
          <w:p>
            <w:r/>
            <w:r>
              <w:rPr>
                <w:rFonts w:ascii="Calibri" w:hAnsi="Calibri"/>
                <w:b w:val="0"/>
                <w:sz w:val="17"/>
              </w:rPr>
              <w:t>Critical</w:t>
            </w:r>
          </w:p>
        </w:tc>
        <w:tc>
          <w:tcPr>
            <w:tcW w:type="dxa" w:w="6192"/>
          </w:tcPr>
          <w:p>
            <w:r/>
            <w:r>
              <w:rPr>
                <w:rFonts w:ascii="Calibri" w:hAnsi="Calibri"/>
                <w:b w:val="0"/>
                <w:sz w:val="17"/>
              </w:rPr>
              <w:t>Hard-coded Supabase fallback silently routed to the wrong project; env-driven targeting fails silently (partly remediated; fail-fast recommended)</w:t>
            </w:r>
          </w:p>
        </w:tc>
      </w:tr>
      <w:tr>
        <w:tc>
          <w:tcPr>
            <w:tcW w:type="dxa" w:w="3024"/>
            <w:shd w:val="clear" w:color="auto" w:fill="F2F4F8"/>
          </w:tcPr>
          <w:p>
            <w:r/>
            <w:r>
              <w:rPr>
                <w:rFonts w:ascii="Calibri" w:hAnsi="Calibri"/>
                <w:b w:val="0"/>
                <w:sz w:val="17"/>
              </w:rPr>
              <w:t>Single environment / demo data</w:t>
            </w:r>
          </w:p>
        </w:tc>
        <w:tc>
          <w:tcPr>
            <w:tcW w:type="dxa" w:w="1152"/>
            <w:shd w:val="clear" w:color="auto" w:fill="FBF1DD"/>
          </w:tcPr>
          <w:p>
            <w:r/>
            <w:r>
              <w:rPr>
                <w:rFonts w:ascii="Calibri" w:hAnsi="Calibri"/>
                <w:b w:val="0"/>
                <w:sz w:val="17"/>
              </w:rPr>
              <w:t>Major</w:t>
            </w:r>
          </w:p>
        </w:tc>
        <w:tc>
          <w:tcPr>
            <w:tcW w:type="dxa" w:w="6192"/>
            <w:shd w:val="clear" w:color="auto" w:fill="F2F4F8"/>
          </w:tcPr>
          <w:p>
            <w:r/>
            <w:r>
              <w:rPr>
                <w:rFonts w:ascii="Calibri" w:hAnsi="Calibri"/>
                <w:b w:val="0"/>
                <w:sz w:val="17"/>
              </w:rPr>
              <w:t>All validation on one staging project with demo tenants; no prod, scale, or migration proof</w:t>
            </w:r>
          </w:p>
        </w:tc>
      </w:tr>
      <w:tr>
        <w:tc>
          <w:tcPr>
            <w:tcW w:type="dxa" w:w="3024"/>
          </w:tcPr>
          <w:p>
            <w:r/>
            <w:r>
              <w:rPr>
                <w:rFonts w:ascii="Calibri" w:hAnsi="Calibri"/>
                <w:b w:val="0"/>
                <w:sz w:val="17"/>
              </w:rPr>
              <w:t>Security hardening</w:t>
            </w:r>
          </w:p>
        </w:tc>
        <w:tc>
          <w:tcPr>
            <w:tcW w:type="dxa" w:w="1152"/>
            <w:shd w:val="clear" w:color="auto" w:fill="FBF1DD"/>
          </w:tcPr>
          <w:p>
            <w:r/>
            <w:r>
              <w:rPr>
                <w:rFonts w:ascii="Calibri" w:hAnsi="Calibri"/>
                <w:b w:val="0"/>
                <w:sz w:val="17"/>
              </w:rPr>
              <w:t>Major</w:t>
            </w:r>
          </w:p>
        </w:tc>
        <w:tc>
          <w:tcPr>
            <w:tcW w:type="dxa" w:w="6192"/>
          </w:tcPr>
          <w:p>
            <w:r/>
            <w:r>
              <w:rPr>
                <w:rFonts w:ascii="Calibri" w:hAnsi="Calibri"/>
                <w:b w:val="0"/>
                <w:sz w:val="17"/>
              </w:rPr>
              <w:t>Shared demo password, deployment protection gating testers, no external pen-test, no MFA/SSO</w:t>
            </w:r>
          </w:p>
        </w:tc>
      </w:tr>
      <w:tr>
        <w:tc>
          <w:tcPr>
            <w:tcW w:type="dxa" w:w="3024"/>
            <w:shd w:val="clear" w:color="auto" w:fill="F2F4F8"/>
          </w:tcPr>
          <w:p>
            <w:r/>
            <w:r>
              <w:rPr>
                <w:rFonts w:ascii="Calibri" w:hAnsi="Calibri"/>
                <w:b w:val="0"/>
                <w:sz w:val="17"/>
              </w:rPr>
              <w:t>Engine activation coupling</w:t>
            </w:r>
          </w:p>
        </w:tc>
        <w:tc>
          <w:tcPr>
            <w:tcW w:type="dxa" w:w="1152"/>
            <w:shd w:val="clear" w:color="auto" w:fill="FBF1DD"/>
          </w:tcPr>
          <w:p>
            <w:r/>
            <w:r>
              <w:rPr>
                <w:rFonts w:ascii="Calibri" w:hAnsi="Calibri"/>
                <w:b w:val="0"/>
                <w:sz w:val="17"/>
              </w:rPr>
              <w:t>Major</w:t>
            </w:r>
          </w:p>
        </w:tc>
        <w:tc>
          <w:tcPr>
            <w:tcW w:type="dxa" w:w="6192"/>
            <w:shd w:val="clear" w:color="auto" w:fill="F2F4F8"/>
          </w:tcPr>
          <w:p>
            <w:r/>
            <w:r>
              <w:rPr>
                <w:rFonts w:ascii="Calibri" w:hAnsi="Calibri"/>
                <w:b w:val="0"/>
                <w:sz w:val="17"/>
              </w:rPr>
              <w:t>Engine screens gated by env flags decoupled from DB module gates → nav can show routes that 404 until flags set</w:t>
            </w:r>
          </w:p>
        </w:tc>
      </w:tr>
      <w:tr>
        <w:tc>
          <w:tcPr>
            <w:tcW w:type="dxa" w:w="3024"/>
          </w:tcPr>
          <w:p>
            <w:r/>
            <w:r>
              <w:rPr>
                <w:rFonts w:ascii="Calibri" w:hAnsi="Calibri"/>
                <w:b w:val="0"/>
                <w:sz w:val="17"/>
              </w:rPr>
              <w:t>Schema drift across projects</w:t>
            </w:r>
          </w:p>
        </w:tc>
        <w:tc>
          <w:tcPr>
            <w:tcW w:type="dxa" w:w="1152"/>
            <w:shd w:val="clear" w:color="auto" w:fill="FBF1DD"/>
          </w:tcPr>
          <w:p>
            <w:r/>
            <w:r>
              <w:rPr>
                <w:rFonts w:ascii="Calibri" w:hAnsi="Calibri"/>
                <w:b w:val="0"/>
                <w:sz w:val="17"/>
              </w:rPr>
              <w:t>Major</w:t>
            </w:r>
          </w:p>
        </w:tc>
        <w:tc>
          <w:tcPr>
            <w:tcW w:type="dxa" w:w="6192"/>
          </w:tcPr>
          <w:p>
            <w:r/>
            <w:r>
              <w:rPr>
                <w:rFonts w:ascii="Calibri" w:hAnsi="Calibri"/>
                <w:b w:val="0"/>
                <w:sz w:val="17"/>
              </w:rPr>
              <w:t>staging (278 tables) vs legacy project (135); 6 legacy-only tables; migration discipline needed</w:t>
            </w:r>
          </w:p>
        </w:tc>
      </w:tr>
      <w:tr>
        <w:tc>
          <w:tcPr>
            <w:tcW w:type="dxa" w:w="3024"/>
            <w:shd w:val="clear" w:color="auto" w:fill="F2F4F8"/>
          </w:tcPr>
          <w:p>
            <w:r/>
            <w:r>
              <w:rPr>
                <w:rFonts w:ascii="Calibri" w:hAnsi="Calibri"/>
                <w:b w:val="0"/>
                <w:sz w:val="17"/>
              </w:rPr>
              <w:t>Testing gaps</w:t>
            </w:r>
          </w:p>
        </w:tc>
        <w:tc>
          <w:tcPr>
            <w:tcW w:type="dxa" w:w="1152"/>
            <w:shd w:val="clear" w:color="auto" w:fill="FBF1DD"/>
          </w:tcPr>
          <w:p>
            <w:r/>
            <w:r>
              <w:rPr>
                <w:rFonts w:ascii="Calibri" w:hAnsi="Calibri"/>
                <w:b w:val="0"/>
                <w:sz w:val="17"/>
              </w:rPr>
              <w:t>Major</w:t>
            </w:r>
          </w:p>
        </w:tc>
        <w:tc>
          <w:tcPr>
            <w:tcW w:type="dxa" w:w="6192"/>
            <w:shd w:val="clear" w:color="auto" w:fill="F2F4F8"/>
          </w:tcPr>
          <w:p>
            <w:r/>
            <w:r>
              <w:rPr>
                <w:rFonts w:ascii="Calibri" w:hAnsi="Calibri"/>
                <w:b w:val="0"/>
                <w:sz w:val="17"/>
              </w:rPr>
              <w:t>1,314 unit/integration tests, but no E2E/device/load/security suites; per-pack data validation incomplete</w:t>
            </w:r>
          </w:p>
        </w:tc>
      </w:tr>
      <w:tr>
        <w:tc>
          <w:tcPr>
            <w:tcW w:type="dxa" w:w="3024"/>
          </w:tcPr>
          <w:p>
            <w:r/>
            <w:r>
              <w:rPr>
                <w:rFonts w:ascii="Calibri" w:hAnsi="Calibri"/>
                <w:b w:val="0"/>
                <w:sz w:val="17"/>
              </w:rPr>
              <w:t>UX edge cases</w:t>
            </w:r>
          </w:p>
        </w:tc>
        <w:tc>
          <w:tcPr>
            <w:tcW w:type="dxa" w:w="1152"/>
            <w:shd w:val="clear" w:color="auto" w:fill="E5F2E9"/>
          </w:tcPr>
          <w:p>
            <w:r/>
            <w:r>
              <w:rPr>
                <w:rFonts w:ascii="Calibri" w:hAnsi="Calibri"/>
                <w:b w:val="0"/>
                <w:sz w:val="17"/>
              </w:rPr>
              <w:t>Minor</w:t>
            </w:r>
          </w:p>
        </w:tc>
        <w:tc>
          <w:tcPr>
            <w:tcW w:type="dxa" w:w="6192"/>
          </w:tcPr>
          <w:p>
            <w:r/>
            <w:r>
              <w:rPr>
                <w:rFonts w:ascii="Calibri" w:hAnsi="Calibri"/>
                <w:b w:val="0"/>
                <w:sz w:val="17"/>
              </w:rPr>
              <w:t>Unknown business_type crashed the platform dashboard (fixed); other unguarded edges likely remain</w:t>
            </w:r>
          </w:p>
        </w:tc>
      </w:tr>
      <w:tr>
        <w:tc>
          <w:tcPr>
            <w:tcW w:type="dxa" w:w="3024"/>
            <w:shd w:val="clear" w:color="auto" w:fill="F2F4F8"/>
          </w:tcPr>
          <w:p>
            <w:r/>
            <w:r>
              <w:rPr>
                <w:rFonts w:ascii="Calibri" w:hAnsi="Calibri"/>
                <w:b w:val="0"/>
                <w:sz w:val="17"/>
              </w:rPr>
              <w:t>Documentation gaps</w:t>
            </w:r>
          </w:p>
        </w:tc>
        <w:tc>
          <w:tcPr>
            <w:tcW w:type="dxa" w:w="1152"/>
            <w:shd w:val="clear" w:color="auto" w:fill="E5F2E9"/>
          </w:tcPr>
          <w:p>
            <w:r/>
            <w:r>
              <w:rPr>
                <w:rFonts w:ascii="Calibri" w:hAnsi="Calibri"/>
                <w:b w:val="0"/>
                <w:sz w:val="17"/>
              </w:rPr>
              <w:t>Minor</w:t>
            </w:r>
          </w:p>
        </w:tc>
        <w:tc>
          <w:tcPr>
            <w:tcW w:type="dxa" w:w="6192"/>
            <w:shd w:val="clear" w:color="auto" w:fill="F2F4F8"/>
          </w:tcPr>
          <w:p>
            <w:r/>
            <w:r>
              <w:rPr>
                <w:rFonts w:ascii="Calibri" w:hAnsi="Calibri"/>
                <w:b w:val="0"/>
                <w:sz w:val="17"/>
              </w:rPr>
              <w:t>Strong internal audit docs; thin operator/admin + API/onboarding documentation</w:t>
            </w:r>
          </w:p>
        </w:tc>
      </w:tr>
      <w:tr>
        <w:tc>
          <w:tcPr>
            <w:tcW w:type="dxa" w:w="3024"/>
          </w:tcPr>
          <w:p>
            <w:r/>
            <w:r>
              <w:rPr>
                <w:rFonts w:ascii="Calibri" w:hAnsi="Calibri"/>
                <w:b w:val="0"/>
                <w:sz w:val="17"/>
              </w:rPr>
              <w:t>Non-transactional post-steps</w:t>
            </w:r>
          </w:p>
        </w:tc>
        <w:tc>
          <w:tcPr>
            <w:tcW w:type="dxa" w:w="1152"/>
            <w:shd w:val="clear" w:color="auto" w:fill="E5F2E9"/>
          </w:tcPr>
          <w:p>
            <w:r/>
            <w:r>
              <w:rPr>
                <w:rFonts w:ascii="Calibri" w:hAnsi="Calibri"/>
                <w:b w:val="0"/>
                <w:sz w:val="17"/>
              </w:rPr>
              <w:t>Minor</w:t>
            </w:r>
          </w:p>
        </w:tc>
        <w:tc>
          <w:tcPr>
            <w:tcW w:type="dxa" w:w="6192"/>
          </w:tcPr>
          <w:p>
            <w:r/>
            <w:r>
              <w:rPr>
                <w:rFonts w:ascii="Calibri" w:hAnsi="Calibri"/>
                <w:b w:val="0"/>
                <w:sz w:val="17"/>
              </w:rPr>
              <w:t>Some batch/loyalty/dispense updates are best-effort after the sale, not in one transaction</w:t>
            </w:r>
          </w:p>
        </w:tc>
      </w:tr>
    </w:tbl>
    <w:p>
      <w:r>
        <w:br w:type="page"/>
      </w:r>
    </w:p>
    <w:p>
      <w:pPr>
        <w:pStyle w:val="Heading1"/>
      </w:pPr>
      <w:r>
        <w:rPr>
          <w:b/>
          <w:color w:val="1F2A44"/>
          <w:sz w:val="30"/>
        </w:rPr>
        <w:t>Section 8 — Pilot Readiness Assessment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val="clear" w:color="auto" w:fill="1F2A44"/>
          </w:tcPr>
          <w:p>
            <w:r/>
            <w:r>
              <w:rPr>
                <w:rFonts w:ascii="Calibri" w:hAnsi="Calibri"/>
                <w:b/>
                <w:color w:val="FFFFFF"/>
                <w:sz w:val="17"/>
              </w:rPr>
              <w:t>Tenant</w:t>
            </w:r>
          </w:p>
        </w:tc>
        <w:tc>
          <w:tcPr>
            <w:tcW w:type="dxa" w:w="1152"/>
            <w:shd w:val="clear" w:color="auto" w:fill="1F2A44"/>
          </w:tcPr>
          <w:p>
            <w:r/>
            <w:r>
              <w:rPr>
                <w:rFonts w:ascii="Calibri" w:hAnsi="Calibri"/>
                <w:b/>
                <w:color w:val="FFFFFF"/>
                <w:sz w:val="17"/>
              </w:rPr>
              <w:t>Readiness</w:t>
            </w:r>
          </w:p>
        </w:tc>
        <w:tc>
          <w:tcPr>
            <w:tcW w:type="dxa" w:w="2880"/>
            <w:shd w:val="clear" w:color="auto" w:fill="1F2A44"/>
          </w:tcPr>
          <w:p>
            <w:r/>
            <w:r>
              <w:rPr>
                <w:rFonts w:ascii="Calibri" w:hAnsi="Calibri"/>
                <w:b/>
                <w:color w:val="FFFFFF"/>
                <w:sz w:val="17"/>
              </w:rPr>
              <w:t>Data quality</w:t>
            </w:r>
          </w:p>
        </w:tc>
        <w:tc>
          <w:tcPr>
            <w:tcW w:type="dxa" w:w="2304"/>
            <w:shd w:val="clear" w:color="auto" w:fill="1F2A44"/>
          </w:tcPr>
          <w:p>
            <w:r/>
            <w:r>
              <w:rPr>
                <w:rFonts w:ascii="Calibri" w:hAnsi="Calibri"/>
                <w:b/>
                <w:color w:val="FFFFFF"/>
                <w:sz w:val="17"/>
              </w:rPr>
              <w:t>User readiness</w:t>
            </w:r>
          </w:p>
        </w:tc>
        <w:tc>
          <w:tcPr>
            <w:tcW w:type="dxa" w:w="3312"/>
            <w:shd w:val="clear" w:color="auto" w:fill="1F2A44"/>
          </w:tcPr>
          <w:p>
            <w:r/>
            <w:r>
              <w:rPr>
                <w:rFonts w:ascii="Calibri" w:hAnsi="Calibri"/>
                <w:b/>
                <w:color w:val="FFFFFF"/>
                <w:sz w:val="17"/>
              </w:rPr>
              <w:t>Required fixes</w:t>
            </w:r>
          </w:p>
        </w:tc>
        <w:tc>
          <w:tcPr>
            <w:tcW w:type="dxa" w:w="1440"/>
            <w:shd w:val="clear" w:color="auto" w:fill="1F2A44"/>
          </w:tcPr>
          <w:p>
            <w:r/>
            <w:r>
              <w:rPr>
                <w:rFonts w:ascii="Calibri" w:hAnsi="Calibri"/>
                <w:b/>
                <w:color w:val="FFFFFF"/>
                <w:sz w:val="17"/>
              </w:rPr>
              <w:t>Est. time to pilot</w:t>
            </w:r>
          </w:p>
        </w:tc>
      </w:tr>
      <w:tr>
        <w:tc>
          <w:tcPr>
            <w:tcW w:type="dxa" w:w="2592"/>
          </w:tcPr>
          <w:p>
            <w:r/>
            <w:r>
              <w:rPr>
                <w:rFonts w:ascii="Calibri" w:hAnsi="Calibri"/>
                <w:b w:val="0"/>
                <w:sz w:val="17"/>
              </w:rPr>
              <w:t>Nile FMCG (DEMO)</w:t>
            </w:r>
          </w:p>
        </w:tc>
        <w:tc>
          <w:tcPr>
            <w:tcW w:type="dxa" w:w="1152"/>
            <w:shd w:val="clear" w:color="auto" w:fill="FBF1DD"/>
          </w:tcPr>
          <w:p>
            <w:r/>
            <w:r>
              <w:rPr>
                <w:rFonts w:ascii="Calibri" w:hAnsi="Calibri"/>
                <w:b w:val="0"/>
                <w:sz w:val="17"/>
              </w:rPr>
              <w:t>Yellow</w:t>
            </w:r>
          </w:p>
        </w:tc>
        <w:tc>
          <w:tcPr>
            <w:tcW w:type="dxa" w:w="2880"/>
          </w:tcPr>
          <w:p>
            <w:r/>
            <w:r>
              <w:rPr>
                <w:rFonts w:ascii="Calibri" w:hAnsi="Calibri"/>
                <w:b w:val="0"/>
                <w:sz w:val="17"/>
              </w:rPr>
              <w:t>Good (13 branches, 755 invoices, full role org of 57 users)</w:t>
            </w:r>
          </w:p>
        </w:tc>
        <w:tc>
          <w:tcPr>
            <w:tcW w:type="dxa" w:w="2304"/>
          </w:tcPr>
          <w:p>
            <w:r/>
            <w:r>
              <w:rPr>
                <w:rFonts w:ascii="Calibri" w:hAnsi="Calibri"/>
                <w:b w:val="0"/>
                <w:sz w:val="17"/>
              </w:rPr>
              <w:t>Strong (7 distinct roles seeded)</w:t>
            </w:r>
          </w:p>
        </w:tc>
        <w:tc>
          <w:tcPr>
            <w:tcW w:type="dxa" w:w="3312"/>
          </w:tcPr>
          <w:p>
            <w:r/>
            <w:r>
              <w:rPr>
                <w:rFonts w:ascii="Calibri" w:hAnsi="Calibri"/>
                <w:b w:val="0"/>
                <w:sz w:val="17"/>
              </w:rPr>
              <w:t>Activate 11 engine flags; run 7-role validation; rotate passwords</w:t>
            </w:r>
          </w:p>
        </w:tc>
        <w:tc>
          <w:tcPr>
            <w:tcW w:type="dxa" w:w="1440"/>
          </w:tcPr>
          <w:p>
            <w:r/>
            <w:r>
              <w:rPr>
                <w:rFonts w:ascii="Calibri" w:hAnsi="Calibri"/>
                <w:b w:val="0"/>
                <w:sz w:val="17"/>
              </w:rPr>
              <w:t>3–5 days</w:t>
            </w:r>
          </w:p>
        </w:tc>
      </w:tr>
      <w:tr>
        <w:tc>
          <w:tcPr>
            <w:tcW w:type="dxa" w:w="2592"/>
            <w:shd w:val="clear" w:color="auto" w:fill="F2F4F8"/>
          </w:tcPr>
          <w:p>
            <w:r/>
            <w:r>
              <w:rPr>
                <w:rFonts w:ascii="Calibri" w:hAnsi="Calibri"/>
                <w:b w:val="0"/>
                <w:sz w:val="17"/>
              </w:rPr>
              <w:t>Amty Pharmacy (DEMO)</w:t>
            </w:r>
          </w:p>
        </w:tc>
        <w:tc>
          <w:tcPr>
            <w:tcW w:type="dxa" w:w="1152"/>
            <w:shd w:val="clear" w:color="auto" w:fill="E5F2E9"/>
          </w:tcPr>
          <w:p>
            <w:r/>
            <w:r>
              <w:rPr>
                <w:rFonts w:ascii="Calibri" w:hAnsi="Calibri"/>
                <w:b w:val="0"/>
                <w:sz w:val="17"/>
              </w:rPr>
              <w:t>Green</w:t>
            </w:r>
          </w:p>
        </w:tc>
        <w:tc>
          <w:tcPr>
            <w:tcW w:type="dxa" w:w="2880"/>
            <w:shd w:val="clear" w:color="auto" w:fill="F2F4F8"/>
          </w:tcPr>
          <w:p>
            <w:r/>
            <w:r>
              <w:rPr>
                <w:rFonts w:ascii="Calibri" w:hAnsi="Calibri"/>
                <w:b w:val="0"/>
                <w:sz w:val="17"/>
              </w:rPr>
              <w:t>Strong (400 products, 757 batches, 334 invoices, 2 branches)</w:t>
            </w:r>
          </w:p>
        </w:tc>
        <w:tc>
          <w:tcPr>
            <w:tcW w:type="dxa" w:w="2304"/>
            <w:shd w:val="clear" w:color="auto" w:fill="F2F4F8"/>
          </w:tcPr>
          <w:p>
            <w:r/>
            <w:r>
              <w:rPr>
                <w:rFonts w:ascii="Calibri" w:hAnsi="Calibri"/>
                <w:b w:val="0"/>
                <w:sz w:val="17"/>
              </w:rPr>
              <w:t>Good (owner/pharmacist/2 cashiers)</w:t>
            </w:r>
          </w:p>
        </w:tc>
        <w:tc>
          <w:tcPr>
            <w:tcW w:type="dxa" w:w="3312"/>
            <w:shd w:val="clear" w:color="auto" w:fill="F2F4F8"/>
          </w:tcPr>
          <w:p>
            <w:r/>
            <w:r>
              <w:rPr>
                <w:rFonts w:ascii="Calibri" w:hAnsi="Calibri"/>
                <w:b w:val="0"/>
                <w:sz w:val="17"/>
              </w:rPr>
              <w:t>Minor: device QA; receipt/print pass</w:t>
            </w:r>
          </w:p>
        </w:tc>
        <w:tc>
          <w:tcPr>
            <w:tcW w:type="dxa" w:w="1440"/>
            <w:shd w:val="clear" w:color="auto" w:fill="F2F4F8"/>
          </w:tcPr>
          <w:p>
            <w:r/>
            <w:r>
              <w:rPr>
                <w:rFonts w:ascii="Calibri" w:hAnsi="Calibri"/>
                <w:b w:val="0"/>
                <w:sz w:val="17"/>
              </w:rPr>
              <w:t>1–2 days</w:t>
            </w:r>
          </w:p>
        </w:tc>
      </w:tr>
      <w:tr>
        <w:tc>
          <w:tcPr>
            <w:tcW w:type="dxa" w:w="2592"/>
          </w:tcPr>
          <w:p>
            <w:r/>
            <w:r>
              <w:rPr>
                <w:rFonts w:ascii="Calibri" w:hAnsi="Calibri"/>
                <w:b w:val="0"/>
                <w:sz w:val="17"/>
              </w:rPr>
              <w:t>City Care Pharmacy (DEMO)</w:t>
            </w:r>
          </w:p>
        </w:tc>
        <w:tc>
          <w:tcPr>
            <w:tcW w:type="dxa" w:w="1152"/>
            <w:shd w:val="clear" w:color="auto" w:fill="FBF1DD"/>
          </w:tcPr>
          <w:p>
            <w:r/>
            <w:r>
              <w:rPr>
                <w:rFonts w:ascii="Calibri" w:hAnsi="Calibri"/>
                <w:b w:val="0"/>
                <w:sz w:val="17"/>
              </w:rPr>
              <w:t>Yellow</w:t>
            </w:r>
          </w:p>
        </w:tc>
        <w:tc>
          <w:tcPr>
            <w:tcW w:type="dxa" w:w="2880"/>
          </w:tcPr>
          <w:p>
            <w:r/>
            <w:r>
              <w:rPr>
                <w:rFonts w:ascii="Calibri" w:hAnsi="Calibri"/>
                <w:b w:val="0"/>
                <w:sz w:val="17"/>
              </w:rPr>
              <w:t>Light (17 products, 15 invoices, 1 branch)</w:t>
            </w:r>
          </w:p>
        </w:tc>
        <w:tc>
          <w:tcPr>
            <w:tcW w:type="dxa" w:w="2304"/>
          </w:tcPr>
          <w:p>
            <w:r/>
            <w:r>
              <w:rPr>
                <w:rFonts w:ascii="Calibri" w:hAnsi="Calibri"/>
                <w:b w:val="0"/>
                <w:sz w:val="17"/>
              </w:rPr>
              <w:t>Basic (owner + 2 cashiers)</w:t>
            </w:r>
          </w:p>
        </w:tc>
        <w:tc>
          <w:tcPr>
            <w:tcW w:type="dxa" w:w="3312"/>
          </w:tcPr>
          <w:p>
            <w:r/>
            <w:r>
              <w:rPr>
                <w:rFonts w:ascii="Calibri" w:hAnsi="Calibri"/>
                <w:b w:val="0"/>
                <w:sz w:val="17"/>
              </w:rPr>
              <w:t>Seed deeper data if used as a second pharmacy pilot</w:t>
            </w:r>
          </w:p>
        </w:tc>
        <w:tc>
          <w:tcPr>
            <w:tcW w:type="dxa" w:w="1440"/>
          </w:tcPr>
          <w:p>
            <w:r/>
            <w:r>
              <w:rPr>
                <w:rFonts w:ascii="Calibri" w:hAnsi="Calibri"/>
                <w:b w:val="0"/>
                <w:sz w:val="17"/>
              </w:rPr>
              <w:t>2–3 days</w:t>
            </w:r>
          </w:p>
        </w:tc>
      </w:tr>
    </w:tbl>
    <w:p>
      <w:r>
        <w:rPr>
          <w:b/>
          <w:i w:val="0"/>
          <w:color w:val="1A1A1A"/>
          <w:sz w:val="20"/>
        </w:rPr>
        <w:t>Go / No-Go: GO for a controlled pilot — Amty Pharmacy first (most data-proven), Nile FMCG next once the engine flags are activated and the 7-role validation passes on the preview (vantora-staging) URL. No-Go for any pilot on the current production URL (it serves the wrong branch/project).</w:t>
      </w:r>
    </w:p>
    <w:p>
      <w:pPr>
        <w:pStyle w:val="Heading1"/>
      </w:pPr>
      <w:r>
        <w:rPr>
          <w:b/>
          <w:color w:val="1F2A44"/>
          <w:sz w:val="30"/>
        </w:rPr>
        <w:t>Section 9 — Commercial Potential</w:t>
      </w:r>
    </w:p>
    <w:p>
      <w:pPr>
        <w:pStyle w:val="ListBullet"/>
      </w:pPr>
      <w:r>
        <w:rPr>
          <w:b w:val="0"/>
          <w:color w:val="1A1A1A"/>
          <w:sz w:val="19"/>
        </w:rPr>
        <w:t>Target markets: Egyptian/MENA FMCG distributors and multi-branch retail SMEs (pharmacy chains first); secondary: vertical SMEs (clinics, restaurants, salons, fashion) needing an affordable, Arabic-first operating system.</w:t>
      </w:r>
    </w:p>
    <w:p>
      <w:pPr>
        <w:pStyle w:val="ListBullet"/>
      </w:pPr>
      <w:r>
        <w:rPr>
          <w:b w:val="0"/>
          <w:color w:val="1A1A1A"/>
          <w:sz w:val="19"/>
        </w:rPr>
        <w:t>Ideal customer profile: 5–200-user distributor/retailer with field sales (vans/reps), multi-branch inventory, and weak/legacy software; values low TCO, fast onboarding, and Arabic support.</w:t>
      </w:r>
    </w:p>
    <w:p>
      <w:pPr>
        <w:pStyle w:val="ListBullet"/>
      </w:pPr>
      <w:r>
        <w:rPr>
          <w:b w:val="0"/>
          <w:color w:val="1A1A1A"/>
          <w:sz w:val="19"/>
        </w:rPr>
        <w:t>Revenue opportunities: tiered per-seat/per-tenant SaaS; industry-pack upsell (Pharmacy/FMCG Enterprise); integration/marketplace fees; implementation/onboarding services.</w:t>
      </w:r>
    </w:p>
    <w:p>
      <w:pPr>
        <w:pStyle w:val="ListBullet"/>
      </w:pPr>
      <w:r>
        <w:rPr>
          <w:b w:val="0"/>
          <w:color w:val="1A1A1A"/>
          <w:sz w:val="19"/>
        </w:rPr>
        <w:t>Indicative SaaS pricing model (to be validated): Lite / Standard / Enterprise tiers per tenant, with per-seat add-ons and pack surcharges; distribution (route/van/trade-spend) as a premium pack.</w:t>
      </w:r>
    </w:p>
    <w:p>
      <w:pPr>
        <w:pStyle w:val="ListBullet"/>
      </w:pPr>
      <w:r>
        <w:rPr>
          <w:b w:val="0"/>
          <w:color w:val="1A1A1A"/>
          <w:sz w:val="19"/>
        </w:rPr>
        <w:t>Why buy VANTORA over incumbents: one platform replacing 3–5 tools; distribution depth most SMB SaaS lacks; Arabic/RTL + local tax (ETA e-invoicing readiness); configuration-over-customisation lowers time-to-value vs Odoo.</w:t>
      </w:r>
    </w:p>
    <w:p>
      <w:r>
        <w:br w:type="page"/>
      </w:r>
    </w:p>
    <w:p>
      <w:pPr>
        <w:pStyle w:val="Heading1"/>
      </w:pPr>
      <w:r>
        <w:rPr>
          <w:b/>
          <w:color w:val="1F2A44"/>
          <w:sz w:val="30"/>
        </w:rPr>
        <w:t>Section 10 — Risk Assessment (Risk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024"/>
            <w:shd w:val="clear" w:color="auto" w:fill="1F2A44"/>
          </w:tcPr>
          <w:p>
            <w:r/>
            <w:r>
              <w:rPr>
                <w:rFonts w:ascii="Calibri" w:hAnsi="Calibri"/>
                <w:b/>
                <w:color w:val="FFFFFF"/>
                <w:sz w:val="17"/>
              </w:rPr>
              <w:t>Risk</w:t>
            </w:r>
          </w:p>
        </w:tc>
        <w:tc>
          <w:tcPr>
            <w:tcW w:type="dxa" w:w="1440"/>
            <w:shd w:val="clear" w:color="auto" w:fill="1F2A44"/>
          </w:tcPr>
          <w:p>
            <w:r/>
            <w:r>
              <w:rPr>
                <w:rFonts w:ascii="Calibri" w:hAnsi="Calibri"/>
                <w:b/>
                <w:color w:val="FFFFFF"/>
                <w:sz w:val="17"/>
              </w:rPr>
              <w:t>Type</w:t>
            </w:r>
          </w:p>
        </w:tc>
        <w:tc>
          <w:tcPr>
            <w:tcW w:type="dxa" w:w="1296"/>
            <w:shd w:val="clear" w:color="auto" w:fill="1F2A44"/>
          </w:tcPr>
          <w:p>
            <w:r/>
            <w:r>
              <w:rPr>
                <w:rFonts w:ascii="Calibri" w:hAnsi="Calibri"/>
                <w:b/>
                <w:color w:val="FFFFFF"/>
                <w:sz w:val="17"/>
              </w:rPr>
              <w:t>Likelihood</w:t>
            </w:r>
          </w:p>
        </w:tc>
        <w:tc>
          <w:tcPr>
            <w:tcW w:type="dxa" w:w="1008"/>
            <w:shd w:val="clear" w:color="auto" w:fill="1F2A44"/>
          </w:tcPr>
          <w:p>
            <w:r/>
            <w:r>
              <w:rPr>
                <w:rFonts w:ascii="Calibri" w:hAnsi="Calibri"/>
                <w:b/>
                <w:color w:val="FFFFFF"/>
                <w:sz w:val="17"/>
              </w:rPr>
              <w:t>Impact</w:t>
            </w:r>
          </w:p>
        </w:tc>
        <w:tc>
          <w:tcPr>
            <w:tcW w:type="dxa" w:w="3600"/>
            <w:shd w:val="clear" w:color="auto" w:fill="1F2A44"/>
          </w:tcPr>
          <w:p>
            <w:r/>
            <w:r>
              <w:rPr>
                <w:rFonts w:ascii="Calibri" w:hAnsi="Calibri"/>
                <w:b/>
                <w:color w:val="FFFFFF"/>
                <w:sz w:val="17"/>
              </w:rPr>
              <w:t>Mitigation</w:t>
            </w:r>
          </w:p>
        </w:tc>
      </w:tr>
      <w:tr>
        <w:tc>
          <w:tcPr>
            <w:tcW w:type="dxa" w:w="3024"/>
          </w:tcPr>
          <w:p>
            <w:r/>
            <w:r>
              <w:rPr>
                <w:rFonts w:ascii="Calibri" w:hAnsi="Calibri"/>
                <w:b w:val="0"/>
                <w:sz w:val="17"/>
              </w:rPr>
              <w:t>Env/config mis-targeting (wrong DB)</w:t>
            </w:r>
          </w:p>
        </w:tc>
        <w:tc>
          <w:tcPr>
            <w:tcW w:type="dxa" w:w="1440"/>
          </w:tcPr>
          <w:p>
            <w:r/>
            <w:r>
              <w:rPr>
                <w:rFonts w:ascii="Calibri" w:hAnsi="Calibri"/>
                <w:b w:val="0"/>
                <w:sz w:val="17"/>
              </w:rPr>
              <w:t>Technical</w:t>
            </w:r>
          </w:p>
        </w:tc>
        <w:tc>
          <w:tcPr>
            <w:tcW w:type="dxa" w:w="1296"/>
          </w:tcPr>
          <w:p>
            <w:r/>
            <w:r>
              <w:rPr>
                <w:rFonts w:ascii="Calibri" w:hAnsi="Calibri"/>
                <w:b w:val="0"/>
                <w:sz w:val="17"/>
              </w:rPr>
              <w:t>Medium</w:t>
            </w:r>
          </w:p>
        </w:tc>
        <w:tc>
          <w:tcPr>
            <w:tcW w:type="dxa" w:w="1008"/>
            <w:shd w:val="clear" w:color="auto" w:fill="F8E3E3"/>
          </w:tcPr>
          <w:p>
            <w:r/>
            <w:r>
              <w:rPr>
                <w:rFonts w:ascii="Calibri" w:hAnsi="Calibri"/>
                <w:b w:val="0"/>
                <w:sz w:val="17"/>
              </w:rPr>
              <w:t>High</w:t>
            </w:r>
          </w:p>
        </w:tc>
        <w:tc>
          <w:tcPr>
            <w:tcW w:type="dxa" w:w="3600"/>
          </w:tcPr>
          <w:p>
            <w:r/>
            <w:r>
              <w:rPr>
                <w:rFonts w:ascii="Calibri" w:hAnsi="Calibri"/>
                <w:b w:val="0"/>
                <w:sz w:val="17"/>
              </w:rPr>
              <w:t>Fail-fast on missing env; per-env config review; deploy checklist; promote branch to main</w:t>
            </w:r>
          </w:p>
        </w:tc>
      </w:tr>
      <w:tr>
        <w:tc>
          <w:tcPr>
            <w:tcW w:type="dxa" w:w="3024"/>
            <w:shd w:val="clear" w:color="auto" w:fill="F2F4F8"/>
          </w:tcPr>
          <w:p>
            <w:r/>
            <w:r>
              <w:rPr>
                <w:rFonts w:ascii="Calibri" w:hAnsi="Calibri"/>
                <w:b w:val="0"/>
                <w:sz w:val="17"/>
              </w:rPr>
              <w:t>Single environment / no prod proof</w:t>
            </w:r>
          </w:p>
        </w:tc>
        <w:tc>
          <w:tcPr>
            <w:tcW w:type="dxa" w:w="1440"/>
            <w:shd w:val="clear" w:color="auto" w:fill="F2F4F8"/>
          </w:tcPr>
          <w:p>
            <w:r/>
            <w:r>
              <w:rPr>
                <w:rFonts w:ascii="Calibri" w:hAnsi="Calibri"/>
                <w:b w:val="0"/>
                <w:sz w:val="17"/>
              </w:rPr>
              <w:t>Operational</w:t>
            </w:r>
          </w:p>
        </w:tc>
        <w:tc>
          <w:tcPr>
            <w:tcW w:type="dxa" w:w="1296"/>
            <w:shd w:val="clear" w:color="auto" w:fill="F2F4F8"/>
          </w:tcPr>
          <w:p>
            <w:r/>
            <w:r>
              <w:rPr>
                <w:rFonts w:ascii="Calibri" w:hAnsi="Calibri"/>
                <w:b w:val="0"/>
                <w:sz w:val="17"/>
              </w:rPr>
              <w:t>High</w:t>
            </w:r>
          </w:p>
        </w:tc>
        <w:tc>
          <w:tcPr>
            <w:tcW w:type="dxa" w:w="1008"/>
            <w:shd w:val="clear" w:color="auto" w:fill="F8E3E3"/>
          </w:tcPr>
          <w:p>
            <w:r/>
            <w:r>
              <w:rPr>
                <w:rFonts w:ascii="Calibri" w:hAnsi="Calibri"/>
                <w:b w:val="0"/>
                <w:sz w:val="17"/>
              </w:rPr>
              <w:t>High</w:t>
            </w:r>
          </w:p>
        </w:tc>
        <w:tc>
          <w:tcPr>
            <w:tcW w:type="dxa" w:w="3600"/>
            <w:shd w:val="clear" w:color="auto" w:fill="F2F4F8"/>
          </w:tcPr>
          <w:p>
            <w:r/>
            <w:r>
              <w:rPr>
                <w:rFonts w:ascii="Calibri" w:hAnsi="Calibri"/>
                <w:b w:val="0"/>
                <w:sz w:val="17"/>
              </w:rPr>
              <w:t>Stand up dedicated prod project; migrate; staged rollout; monitoring/alerting</w:t>
            </w:r>
          </w:p>
        </w:tc>
      </w:tr>
      <w:tr>
        <w:tc>
          <w:tcPr>
            <w:tcW w:type="dxa" w:w="3024"/>
          </w:tcPr>
          <w:p>
            <w:r/>
            <w:r>
              <w:rPr>
                <w:rFonts w:ascii="Calibri" w:hAnsi="Calibri"/>
                <w:b w:val="0"/>
                <w:sz w:val="17"/>
              </w:rPr>
              <w:t>Security: shared creds, no MFA, no pen-test</w:t>
            </w:r>
          </w:p>
        </w:tc>
        <w:tc>
          <w:tcPr>
            <w:tcW w:type="dxa" w:w="1440"/>
          </w:tcPr>
          <w:p>
            <w:r/>
            <w:r>
              <w:rPr>
                <w:rFonts w:ascii="Calibri" w:hAnsi="Calibri"/>
                <w:b w:val="0"/>
                <w:sz w:val="17"/>
              </w:rPr>
              <w:t>Security</w:t>
            </w:r>
          </w:p>
        </w:tc>
        <w:tc>
          <w:tcPr>
            <w:tcW w:type="dxa" w:w="1296"/>
          </w:tcPr>
          <w:p>
            <w:r/>
            <w:r>
              <w:rPr>
                <w:rFonts w:ascii="Calibri" w:hAnsi="Calibri"/>
                <w:b w:val="0"/>
                <w:sz w:val="17"/>
              </w:rPr>
              <w:t>High</w:t>
            </w:r>
          </w:p>
        </w:tc>
        <w:tc>
          <w:tcPr>
            <w:tcW w:type="dxa" w:w="1008"/>
            <w:shd w:val="clear" w:color="auto" w:fill="F8E3E3"/>
          </w:tcPr>
          <w:p>
            <w:r/>
            <w:r>
              <w:rPr>
                <w:rFonts w:ascii="Calibri" w:hAnsi="Calibri"/>
                <w:b w:val="0"/>
                <w:sz w:val="17"/>
              </w:rPr>
              <w:t>High</w:t>
            </w:r>
          </w:p>
        </w:tc>
        <w:tc>
          <w:tcPr>
            <w:tcW w:type="dxa" w:w="3600"/>
          </w:tcPr>
          <w:p>
            <w:r/>
            <w:r>
              <w:rPr>
                <w:rFonts w:ascii="Calibri" w:hAnsi="Calibri"/>
                <w:b w:val="0"/>
                <w:sz w:val="17"/>
              </w:rPr>
              <w:t>Rotate creds; SSO/MFA; external pen-test; secret hygiene; RLS policy audit</w:t>
            </w:r>
          </w:p>
        </w:tc>
      </w:tr>
      <w:tr>
        <w:tc>
          <w:tcPr>
            <w:tcW w:type="dxa" w:w="3024"/>
            <w:shd w:val="clear" w:color="auto" w:fill="F2F4F8"/>
          </w:tcPr>
          <w:p>
            <w:r/>
            <w:r>
              <w:rPr>
                <w:rFonts w:ascii="Calibri" w:hAnsi="Calibri"/>
                <w:b w:val="0"/>
                <w:sz w:val="17"/>
              </w:rPr>
              <w:t>Scale untested (single region, app-heavy aggregates)</w:t>
            </w:r>
          </w:p>
        </w:tc>
        <w:tc>
          <w:tcPr>
            <w:tcW w:type="dxa" w:w="1440"/>
            <w:shd w:val="clear" w:color="auto" w:fill="F2F4F8"/>
          </w:tcPr>
          <w:p>
            <w:r/>
            <w:r>
              <w:rPr>
                <w:rFonts w:ascii="Calibri" w:hAnsi="Calibri"/>
                <w:b w:val="0"/>
                <w:sz w:val="17"/>
              </w:rPr>
              <w:t>Scaling</w:t>
            </w:r>
          </w:p>
        </w:tc>
        <w:tc>
          <w:tcPr>
            <w:tcW w:type="dxa" w:w="1296"/>
            <w:shd w:val="clear" w:color="auto" w:fill="F2F4F8"/>
          </w:tcPr>
          <w:p>
            <w:r/>
            <w:r>
              <w:rPr>
                <w:rFonts w:ascii="Calibri" w:hAnsi="Calibri"/>
                <w:b w:val="0"/>
                <w:sz w:val="17"/>
              </w:rPr>
              <w:t>Medium</w:t>
            </w:r>
          </w:p>
        </w:tc>
        <w:tc>
          <w:tcPr>
            <w:tcW w:type="dxa" w:w="1008"/>
            <w:shd w:val="clear" w:color="auto" w:fill="FBF1DD"/>
          </w:tcPr>
          <w:p>
            <w:r/>
            <w:r>
              <w:rPr>
                <w:rFonts w:ascii="Calibri" w:hAnsi="Calibri"/>
                <w:b w:val="0"/>
                <w:sz w:val="17"/>
              </w:rPr>
              <w:t>Medium</w:t>
            </w:r>
          </w:p>
        </w:tc>
        <w:tc>
          <w:tcPr>
            <w:tcW w:type="dxa" w:w="3600"/>
            <w:shd w:val="clear" w:color="auto" w:fill="F2F4F8"/>
          </w:tcPr>
          <w:p>
            <w:r/>
            <w:r>
              <w:rPr>
                <w:rFonts w:ascii="Calibri" w:hAnsi="Calibri"/>
                <w:b w:val="0"/>
                <w:sz w:val="17"/>
              </w:rPr>
              <w:t>Load tests; read replicas/caching; move heavy reports to read-models/BI</w:t>
            </w:r>
          </w:p>
        </w:tc>
      </w:tr>
      <w:tr>
        <w:tc>
          <w:tcPr>
            <w:tcW w:type="dxa" w:w="3024"/>
          </w:tcPr>
          <w:p>
            <w:r/>
            <w:r>
              <w:rPr>
                <w:rFonts w:ascii="Calibri" w:hAnsi="Calibri"/>
                <w:b w:val="0"/>
                <w:sz w:val="17"/>
              </w:rPr>
              <w:t>Breadth-over-depth (verticals shallow)</w:t>
            </w:r>
          </w:p>
        </w:tc>
        <w:tc>
          <w:tcPr>
            <w:tcW w:type="dxa" w:w="1440"/>
          </w:tcPr>
          <w:p>
            <w:r/>
            <w:r>
              <w:rPr>
                <w:rFonts w:ascii="Calibri" w:hAnsi="Calibri"/>
                <w:b w:val="0"/>
                <w:sz w:val="17"/>
              </w:rPr>
              <w:t>Product</w:t>
            </w:r>
          </w:p>
        </w:tc>
        <w:tc>
          <w:tcPr>
            <w:tcW w:type="dxa" w:w="1296"/>
          </w:tcPr>
          <w:p>
            <w:r/>
            <w:r>
              <w:rPr>
                <w:rFonts w:ascii="Calibri" w:hAnsi="Calibri"/>
                <w:b w:val="0"/>
                <w:sz w:val="17"/>
              </w:rPr>
              <w:t>Medium</w:t>
            </w:r>
          </w:p>
        </w:tc>
        <w:tc>
          <w:tcPr>
            <w:tcW w:type="dxa" w:w="1008"/>
            <w:shd w:val="clear" w:color="auto" w:fill="FBF1DD"/>
          </w:tcPr>
          <w:p>
            <w:r/>
            <w:r>
              <w:rPr>
                <w:rFonts w:ascii="Calibri" w:hAnsi="Calibri"/>
                <w:b w:val="0"/>
                <w:sz w:val="17"/>
              </w:rPr>
              <w:t>Medium</w:t>
            </w:r>
          </w:p>
        </w:tc>
        <w:tc>
          <w:tcPr>
            <w:tcW w:type="dxa" w:w="3600"/>
          </w:tcPr>
          <w:p>
            <w:r/>
            <w:r>
              <w:rPr>
                <w:rFonts w:ascii="Calibri" w:hAnsi="Calibri"/>
                <w:b w:val="0"/>
                <w:sz w:val="17"/>
              </w:rPr>
              <w:t>Focus 1–2 verticals to 'hardened'; defer the rest; pack roadmap by demand</w:t>
            </w:r>
          </w:p>
        </w:tc>
      </w:tr>
      <w:tr>
        <w:tc>
          <w:tcPr>
            <w:tcW w:type="dxa" w:w="3024"/>
            <w:shd w:val="clear" w:color="auto" w:fill="F2F4F8"/>
          </w:tcPr>
          <w:p>
            <w:r/>
            <w:r>
              <w:rPr>
                <w:rFonts w:ascii="Calibri" w:hAnsi="Calibri"/>
                <w:b w:val="0"/>
                <w:sz w:val="17"/>
              </w:rPr>
              <w:t>Go-to-market unproven</w:t>
            </w:r>
          </w:p>
        </w:tc>
        <w:tc>
          <w:tcPr>
            <w:tcW w:type="dxa" w:w="1440"/>
            <w:shd w:val="clear" w:color="auto" w:fill="F2F4F8"/>
          </w:tcPr>
          <w:p>
            <w:r/>
            <w:r>
              <w:rPr>
                <w:rFonts w:ascii="Calibri" w:hAnsi="Calibri"/>
                <w:b w:val="0"/>
                <w:sz w:val="17"/>
              </w:rPr>
              <w:t>Commercial</w:t>
            </w:r>
          </w:p>
        </w:tc>
        <w:tc>
          <w:tcPr>
            <w:tcW w:type="dxa" w:w="1296"/>
            <w:shd w:val="clear" w:color="auto" w:fill="F2F4F8"/>
          </w:tcPr>
          <w:p>
            <w:r/>
            <w:r>
              <w:rPr>
                <w:rFonts w:ascii="Calibri" w:hAnsi="Calibri"/>
                <w:b w:val="0"/>
                <w:sz w:val="17"/>
              </w:rPr>
              <w:t>High</w:t>
            </w:r>
          </w:p>
        </w:tc>
        <w:tc>
          <w:tcPr>
            <w:tcW w:type="dxa" w:w="1008"/>
            <w:shd w:val="clear" w:color="auto" w:fill="FBF1DD"/>
          </w:tcPr>
          <w:p>
            <w:r/>
            <w:r>
              <w:rPr>
                <w:rFonts w:ascii="Calibri" w:hAnsi="Calibri"/>
                <w:b w:val="0"/>
                <w:sz w:val="17"/>
              </w:rPr>
              <w:t>Medium</w:t>
            </w:r>
          </w:p>
        </w:tc>
        <w:tc>
          <w:tcPr>
            <w:tcW w:type="dxa" w:w="3600"/>
            <w:shd w:val="clear" w:color="auto" w:fill="F2F4F8"/>
          </w:tcPr>
          <w:p>
            <w:r/>
            <w:r>
              <w:rPr>
                <w:rFonts w:ascii="Calibri" w:hAnsi="Calibri"/>
                <w:b w:val="0"/>
                <w:sz w:val="17"/>
              </w:rPr>
              <w:t>Run 2–3 paid pilots; reference customers; pricing validation; partner channel</w:t>
            </w:r>
          </w:p>
        </w:tc>
      </w:tr>
      <w:tr>
        <w:tc>
          <w:tcPr>
            <w:tcW w:type="dxa" w:w="3024"/>
          </w:tcPr>
          <w:p>
            <w:r/>
            <w:r>
              <w:rPr>
                <w:rFonts w:ascii="Calibri" w:hAnsi="Calibri"/>
                <w:b w:val="0"/>
                <w:sz w:val="17"/>
              </w:rPr>
              <w:t>Migration/data-quality risk</w:t>
            </w:r>
          </w:p>
        </w:tc>
        <w:tc>
          <w:tcPr>
            <w:tcW w:type="dxa" w:w="1440"/>
          </w:tcPr>
          <w:p>
            <w:r/>
            <w:r>
              <w:rPr>
                <w:rFonts w:ascii="Calibri" w:hAnsi="Calibri"/>
                <w:b w:val="0"/>
                <w:sz w:val="17"/>
              </w:rPr>
              <w:t>Data</w:t>
            </w:r>
          </w:p>
        </w:tc>
        <w:tc>
          <w:tcPr>
            <w:tcW w:type="dxa" w:w="1296"/>
          </w:tcPr>
          <w:p>
            <w:r/>
            <w:r>
              <w:rPr>
                <w:rFonts w:ascii="Calibri" w:hAnsi="Calibri"/>
                <w:b w:val="0"/>
                <w:sz w:val="17"/>
              </w:rPr>
              <w:t>Medium</w:t>
            </w:r>
          </w:p>
        </w:tc>
        <w:tc>
          <w:tcPr>
            <w:tcW w:type="dxa" w:w="1008"/>
            <w:shd w:val="clear" w:color="auto" w:fill="FBF1DD"/>
          </w:tcPr>
          <w:p>
            <w:r/>
            <w:r>
              <w:rPr>
                <w:rFonts w:ascii="Calibri" w:hAnsi="Calibri"/>
                <w:b w:val="0"/>
                <w:sz w:val="17"/>
              </w:rPr>
              <w:t>Medium</w:t>
            </w:r>
          </w:p>
        </w:tc>
        <w:tc>
          <w:tcPr>
            <w:tcW w:type="dxa" w:w="3600"/>
          </w:tcPr>
          <w:p>
            <w:r/>
            <w:r>
              <w:rPr>
                <w:rFonts w:ascii="Calibri" w:hAnsi="Calibri"/>
                <w:b w:val="0"/>
                <w:sz w:val="17"/>
              </w:rPr>
              <w:t>Migration tooling + validation harness; schema-diff gates; backups/restore drills</w:t>
            </w:r>
          </w:p>
        </w:tc>
      </w:tr>
    </w:tbl>
    <w:p>
      <w:pPr>
        <w:pStyle w:val="Heading1"/>
      </w:pPr>
      <w:r>
        <w:rPr>
          <w:b/>
          <w:color w:val="1F2A44"/>
          <w:sz w:val="30"/>
        </w:rPr>
        <w:t>Section 11 — Roadmap (prioritised by ROI &amp; pilot impact)</w:t>
      </w:r>
    </w:p>
    <w:p>
      <w:r>
        <w:rPr>
          <w:b/>
          <w:i w:val="0"/>
          <w:color w:val="1A1A1A"/>
          <w:sz w:val="20"/>
        </w:rPr>
        <w:t>Next 30 days — unblock the FMCG pilot:</w:t>
      </w:r>
    </w:p>
    <w:p>
      <w:pPr>
        <w:pStyle w:val="ListBullet"/>
      </w:pPr>
      <w:r>
        <w:rPr>
          <w:b w:val="0"/>
          <w:color w:val="1A1A1A"/>
          <w:sz w:val="19"/>
        </w:rPr>
        <w:t>Activate the 11 KAKO_* engine flags (Preview); run the 7-role validation; rotate demo passwords; resolve deployment protection for testers.</w:t>
      </w:r>
    </w:p>
    <w:p>
      <w:pPr>
        <w:pStyle w:val="ListBullet"/>
      </w:pPr>
      <w:r>
        <w:rPr>
          <w:b w:val="0"/>
          <w:color w:val="1A1A1A"/>
          <w:sz w:val="19"/>
        </w:rPr>
        <w:t>Add fail-fast config (error on missing Supabase env); merge PR #311 to main and stand up a correct production env.</w:t>
      </w:r>
    </w:p>
    <w:p>
      <w:pPr>
        <w:pStyle w:val="ListBullet"/>
      </w:pPr>
      <w:r>
        <w:rPr>
          <w:b w:val="0"/>
          <w:color w:val="1A1A1A"/>
          <w:sz w:val="19"/>
        </w:rPr>
        <w:t>Run Amty Pharmacy + Nile FMCG controlled pilots; capture defects via the pilot templates.</w:t>
      </w:r>
    </w:p>
    <w:p>
      <w:r>
        <w:rPr>
          <w:b/>
          <w:i w:val="0"/>
          <w:color w:val="1A1A1A"/>
          <w:sz w:val="20"/>
        </w:rPr>
        <w:t>Next 90 days — hardening &amp; first paid pilots:</w:t>
      </w:r>
    </w:p>
    <w:p>
      <w:pPr>
        <w:pStyle w:val="ListBullet"/>
      </w:pPr>
      <w:r>
        <w:rPr>
          <w:b w:val="0"/>
          <w:color w:val="1A1A1A"/>
          <w:sz w:val="19"/>
        </w:rPr>
        <w:t>Dedicated production project + monitoring/alerting + backup/restore drills; basic E2E + device QA suites.</w:t>
      </w:r>
    </w:p>
    <w:p>
      <w:pPr>
        <w:pStyle w:val="ListBullet"/>
      </w:pPr>
      <w:r>
        <w:rPr>
          <w:b w:val="0"/>
          <w:color w:val="1A1A1A"/>
          <w:sz w:val="19"/>
        </w:rPr>
        <w:t>Security pass: MFA/SSO, external pen-test, RLS policy audit, secret hygiene.</w:t>
      </w:r>
    </w:p>
    <w:p>
      <w:pPr>
        <w:pStyle w:val="ListBullet"/>
      </w:pPr>
      <w:r>
        <w:rPr>
          <w:b w:val="0"/>
          <w:color w:val="1A1A1A"/>
          <w:sz w:val="19"/>
        </w:rPr>
        <w:t>Convert 1–2 verticals (Pharmacy + FMCG) to 'hardened'; sign 2–3 paying pilots; validate pricing.</w:t>
      </w:r>
    </w:p>
    <w:p>
      <w:r>
        <w:rPr>
          <w:b/>
          <w:i w:val="0"/>
          <w:color w:val="1A1A1A"/>
          <w:sz w:val="20"/>
        </w:rPr>
        <w:t>Next 6 months — scale &amp; commercialise:</w:t>
      </w:r>
    </w:p>
    <w:p>
      <w:pPr>
        <w:pStyle w:val="ListBullet"/>
      </w:pPr>
      <w:r>
        <w:rPr>
          <w:b w:val="0"/>
          <w:color w:val="1A1A1A"/>
          <w:sz w:val="19"/>
        </w:rPr>
        <w:t>Load/scale testing, read replicas/caching, reporting moved to read-models/BI; onboarding/self-serve.</w:t>
      </w:r>
    </w:p>
    <w:p>
      <w:pPr>
        <w:pStyle w:val="ListBullet"/>
      </w:pPr>
      <w:r>
        <w:rPr>
          <w:b w:val="0"/>
          <w:color w:val="1A1A1A"/>
          <w:sz w:val="19"/>
        </w:rPr>
        <w:t>Integration marketplace (API/webhooks) GA; partner/channel program; reference customers + case studies.</w:t>
      </w:r>
    </w:p>
    <w:p>
      <w:r>
        <w:rPr>
          <w:b/>
          <w:i w:val="0"/>
          <w:color w:val="1A1A1A"/>
          <w:sz w:val="20"/>
        </w:rPr>
        <w:t>Next 12 months — platform &amp; expansion:</w:t>
      </w:r>
    </w:p>
    <w:p>
      <w:pPr>
        <w:pStyle w:val="ListBullet"/>
      </w:pPr>
      <w:r>
        <w:rPr>
          <w:b w:val="0"/>
          <w:color w:val="1A1A1A"/>
          <w:sz w:val="19"/>
        </w:rPr>
        <w:t>Native/PWA mobile field app; additional regions; deeper verticals by demand; analytics/AI assist.</w:t>
      </w:r>
    </w:p>
    <w:p>
      <w:pPr>
        <w:pStyle w:val="ListBullet"/>
      </w:pPr>
      <w:r>
        <w:rPr>
          <w:b w:val="0"/>
          <w:color w:val="1A1A1A"/>
          <w:sz w:val="19"/>
        </w:rPr>
        <w:t>Enterprise features (advanced workflow, entitlement engine GA, SSO/SCIM); Series-A metrics.</w:t>
      </w:r>
    </w:p>
    <w:p>
      <w:r>
        <w:br w:type="page"/>
      </w:r>
    </w:p>
    <w:p>
      <w:pPr>
        <w:pStyle w:val="Heading1"/>
      </w:pPr>
      <w:r>
        <w:rPr>
          <w:b/>
          <w:color w:val="1F2A44"/>
          <w:sz w:val="30"/>
        </w:rPr>
        <w:t>Section 12 — Investor Conclusion (Independent Auditor View)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2A44"/>
          </w:tcPr>
          <w:p>
            <w:r/>
            <w:r>
              <w:rPr>
                <w:rFonts w:ascii="Calibri" w:hAnsi="Calibri"/>
                <w:b/>
                <w:color w:val="FFFFFF"/>
                <w:sz w:val="17"/>
              </w:rPr>
              <w:t>Question</w:t>
            </w:r>
          </w:p>
        </w:tc>
        <w:tc>
          <w:tcPr>
            <w:tcW w:type="dxa" w:w="2304"/>
            <w:shd w:val="clear" w:color="auto" w:fill="1F2A44"/>
          </w:tcPr>
          <w:p>
            <w:r/>
            <w:r>
              <w:rPr>
                <w:rFonts w:ascii="Calibri" w:hAnsi="Calibri"/>
                <w:b/>
                <w:color w:val="FFFFFF"/>
                <w:sz w:val="17"/>
              </w:rPr>
              <w:t>Verdict</w:t>
            </w:r>
          </w:p>
        </w:tc>
        <w:tc>
          <w:tcPr>
            <w:tcW w:type="dxa" w:w="5184"/>
            <w:shd w:val="clear" w:color="auto" w:fill="1F2A44"/>
          </w:tcPr>
          <w:p>
            <w:r/>
            <w:r>
              <w:rPr>
                <w:rFonts w:ascii="Calibri" w:hAnsi="Calibri"/>
                <w:b/>
                <w:color w:val="FFFFFF"/>
                <w:sz w:val="17"/>
              </w:rPr>
              <w:t>Conditions</w:t>
            </w:r>
          </w:p>
        </w:tc>
      </w:tr>
      <w:tr>
        <w:tc>
          <w:tcPr>
            <w:tcW w:type="dxa" w:w="2880"/>
          </w:tcPr>
          <w:p>
            <w:r/>
            <w:r>
              <w:rPr>
                <w:rFonts w:ascii="Calibri" w:hAnsi="Calibri"/>
                <w:b w:val="0"/>
                <w:sz w:val="17"/>
              </w:rPr>
              <w:t>Approve a PILOT?</w:t>
            </w:r>
          </w:p>
        </w:tc>
        <w:tc>
          <w:tcPr>
            <w:tcW w:type="dxa" w:w="2304"/>
            <w:shd w:val="clear" w:color="auto" w:fill="FBF1DD"/>
          </w:tcPr>
          <w:p>
            <w:r/>
            <w:r>
              <w:rPr>
                <w:rFonts w:ascii="Calibri" w:hAnsi="Calibri"/>
                <w:b w:val="0"/>
                <w:sz w:val="17"/>
              </w:rPr>
              <w:t>YES (conditional)</w:t>
            </w:r>
          </w:p>
        </w:tc>
        <w:tc>
          <w:tcPr>
            <w:tcW w:type="dxa" w:w="5184"/>
          </w:tcPr>
          <w:p>
            <w:r/>
            <w:r>
              <w:rPr>
                <w:rFonts w:ascii="Calibri" w:hAnsi="Calibri"/>
                <w:b w:val="0"/>
                <w:sz w:val="17"/>
              </w:rPr>
              <w:t>On the preview/vantora-staging URL, after engine-flag activation + 7-role validation + password rotation</w:t>
            </w:r>
          </w:p>
        </w:tc>
      </w:tr>
      <w:tr>
        <w:tc>
          <w:tcPr>
            <w:tcW w:type="dxa" w:w="2880"/>
            <w:shd w:val="clear" w:color="auto" w:fill="F2F4F8"/>
          </w:tcPr>
          <w:p>
            <w:r/>
            <w:r>
              <w:rPr>
                <w:rFonts w:ascii="Calibri" w:hAnsi="Calibri"/>
                <w:b w:val="0"/>
                <w:sz w:val="17"/>
              </w:rPr>
              <w:t>Approve COMMERCIAL LAUNCH?</w:t>
            </w:r>
          </w:p>
        </w:tc>
        <w:tc>
          <w:tcPr>
            <w:tcW w:type="dxa" w:w="2304"/>
            <w:shd w:val="clear" w:color="auto" w:fill="F8E3E3"/>
          </w:tcPr>
          <w:p>
            <w:r/>
            <w:r>
              <w:rPr>
                <w:rFonts w:ascii="Calibri" w:hAnsi="Calibri"/>
                <w:b w:val="0"/>
                <w:sz w:val="17"/>
              </w:rPr>
              <w:t>NO (not yet)</w:t>
            </w:r>
          </w:p>
        </w:tc>
        <w:tc>
          <w:tcPr>
            <w:tcW w:type="dxa" w:w="5184"/>
            <w:shd w:val="clear" w:color="auto" w:fill="F2F4F8"/>
          </w:tcPr>
          <w:p>
            <w:r/>
            <w:r>
              <w:rPr>
                <w:rFonts w:ascii="Calibri" w:hAnsi="Calibri"/>
                <w:b w:val="0"/>
                <w:sz w:val="17"/>
              </w:rPr>
              <w:t>Requires prod environment, security pass, scale testing, 2–3 successful paid pilots</w:t>
            </w:r>
          </w:p>
        </w:tc>
      </w:tr>
      <w:tr>
        <w:tc>
          <w:tcPr>
            <w:tcW w:type="dxa" w:w="2880"/>
          </w:tcPr>
          <w:p>
            <w:r/>
            <w:r>
              <w:rPr>
                <w:rFonts w:ascii="Calibri" w:hAnsi="Calibri"/>
                <w:b w:val="0"/>
                <w:sz w:val="17"/>
              </w:rPr>
              <w:t>Would you INVEST?</w:t>
            </w:r>
          </w:p>
        </w:tc>
        <w:tc>
          <w:tcPr>
            <w:tcW w:type="dxa" w:w="2304"/>
            <w:shd w:val="clear" w:color="auto" w:fill="E5F2E9"/>
          </w:tcPr>
          <w:p>
            <w:r/>
            <w:r>
              <w:rPr>
                <w:rFonts w:ascii="Calibri" w:hAnsi="Calibri"/>
                <w:b w:val="0"/>
                <w:sz w:val="17"/>
              </w:rPr>
              <w:t>YES — early-stage, conditional</w:t>
            </w:r>
          </w:p>
        </w:tc>
        <w:tc>
          <w:tcPr>
            <w:tcW w:type="dxa" w:w="5184"/>
          </w:tcPr>
          <w:p>
            <w:r/>
            <w:r>
              <w:rPr>
                <w:rFonts w:ascii="Calibri" w:hAnsi="Calibri"/>
                <w:b w:val="0"/>
                <w:sz w:val="17"/>
              </w:rPr>
              <w:t>Architecture-strong with a real FMCG wedge; fund execution against Sections 10–11, milestone-gated</w:t>
            </w:r>
          </w:p>
        </w:tc>
      </w:tr>
    </w:tbl>
    <w:p>
      <w:r>
        <w:rPr>
          <w:b/>
          <w:i w:val="0"/>
          <w:color w:val="1A1A1A"/>
          <w:sz w:val="20"/>
        </w:rPr>
        <w:t>Conditions that must be met before commercial launch:</w:t>
      </w:r>
    </w:p>
    <w:p>
      <w:pPr>
        <w:pStyle w:val="ListBullet"/>
      </w:pPr>
      <w:r>
        <w:rPr>
          <w:b w:val="0"/>
          <w:color w:val="1A1A1A"/>
          <w:sz w:val="19"/>
        </w:rPr>
        <w:t>Correctly-targeted, dedicated production environment (no silent fallback); PR #311 merged to main.</w:t>
      </w:r>
    </w:p>
    <w:p>
      <w:pPr>
        <w:pStyle w:val="ListBullet"/>
      </w:pPr>
      <w:r>
        <w:rPr>
          <w:b w:val="0"/>
          <w:color w:val="1A1A1A"/>
          <w:sz w:val="19"/>
        </w:rPr>
        <w:t>Security hardening complete (creds rotated, MFA/SSO, external pen-test passed, RLS audit).</w:t>
      </w:r>
    </w:p>
    <w:p>
      <w:pPr>
        <w:pStyle w:val="ListBullet"/>
      </w:pPr>
      <w:r>
        <w:rPr>
          <w:b w:val="0"/>
          <w:color w:val="1A1A1A"/>
          <w:sz w:val="19"/>
        </w:rPr>
        <w:t>Scale &amp; resilience proven (load tests, backups/restore, monitoring); E2E/device test suites in CI.</w:t>
      </w:r>
    </w:p>
    <w:p>
      <w:pPr>
        <w:pStyle w:val="ListBullet"/>
      </w:pPr>
      <w:r>
        <w:rPr>
          <w:b w:val="0"/>
          <w:color w:val="1A1A1A"/>
          <w:sz w:val="19"/>
        </w:rPr>
        <w:t>2–3 paying pilots completed with reference-able outcomes and validated pricing.</w:t>
      </w:r>
    </w:p>
    <w:p>
      <w:r>
        <w:rPr>
          <w:b w:val="0"/>
          <w:i w:val="0"/>
          <w:color w:val="1A1A1A"/>
          <w:sz w:val="20"/>
        </w:rPr>
        <w:t>Honest conclusion: VANTORA is a credible, architecture-strong early-stage platform with genuine multi-tenant SaaS foundations and a differentiated FMCG/distribution capability set. Its risk is execution and hardening, not concept. It is pilot-ready (conditionally) today and investable as a milestone-gated early-stage opportunity; it is not yet production- or commercially-proven. The gap is closeable in roughly one to two quarters of disciplined execution.</w:t>
      </w:r>
    </w:p>
    <w:p>
      <w:r>
        <w:br w:type="page"/>
      </w:r>
    </w:p>
    <w:p>
      <w:pPr>
        <w:pStyle w:val="Heading1"/>
      </w:pPr>
      <w:r>
        <w:rPr>
          <w:b/>
          <w:color w:val="1F2A44"/>
          <w:sz w:val="30"/>
        </w:rPr>
        <w:t>Section 13 — Founder &amp; Investor Assessment (Business Opportunity)</w:t>
      </w:r>
    </w:p>
    <w:p>
      <w:r>
        <w:rPr>
          <w:b w:val="0"/>
          <w:i/>
          <w:color w:val="555555"/>
          <w:sz w:val="18"/>
        </w:rPr>
        <w:t>VANTORA is currently PRE-REVENUE with a strong technical asset and demo-only validation. The figures below are scenario-based estimates with explicit assumptions — not forecasts, financial advice, or researched market sizing. Ranges (not point values) are used deliberately; actual outcomes depend on traction, retention (NRR), churn, CAC/LTV and team — none yet proven.</w:t>
      </w:r>
    </w:p>
    <w:p>
      <w:pPr>
        <w:pStyle w:val="Heading2"/>
      </w:pPr>
      <w:r>
        <w:rPr>
          <w:b/>
          <w:color w:val="1F2A44"/>
          <w:sz w:val="24"/>
        </w:rPr>
        <w:t>13.1 Indicative valuation ranges (scenario-based)</w:t>
      </w:r>
    </w:p>
    <w:p>
      <w:r>
        <w:rPr>
          <w:b w:val="0"/>
          <w:i w:val="0"/>
          <w:color w:val="1A1A1A"/>
          <w:sz w:val="18"/>
        </w:rPr>
        <w:t>Assumptions: blended ACV USD 4k–10k per company/year (distribution higher, pharmacy mid, retail lower); early-stage SaaS revenue multiple 4–8× ARR with an emerging-market discount; at low tenant counts valuation is team/traction-driven (venture method), not a pure ARR multiple.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1F2A44"/>
          </w:tcPr>
          <w:p>
            <w:r/>
            <w:r>
              <w:rPr>
                <w:rFonts w:ascii="Calibri" w:hAnsi="Calibri"/>
                <w:b/>
                <w:color w:val="FFFFFF"/>
                <w:sz w:val="17"/>
              </w:rPr>
              <w:t>Milestone</w:t>
            </w:r>
          </w:p>
        </w:tc>
        <w:tc>
          <w:tcPr>
            <w:tcW w:type="dxa" w:w="1728"/>
            <w:shd w:val="clear" w:color="auto" w:fill="1F2A44"/>
          </w:tcPr>
          <w:p>
            <w:r/>
            <w:r>
              <w:rPr>
                <w:rFonts w:ascii="Calibri" w:hAnsi="Calibri"/>
                <w:b/>
                <w:color w:val="FFFFFF"/>
                <w:sz w:val="17"/>
              </w:rPr>
              <w:t>Assumed ARR</w:t>
            </w:r>
          </w:p>
        </w:tc>
        <w:tc>
          <w:tcPr>
            <w:tcW w:type="dxa" w:w="2880"/>
            <w:shd w:val="clear" w:color="auto" w:fill="1F2A44"/>
          </w:tcPr>
          <w:p>
            <w:r/>
            <w:r>
              <w:rPr>
                <w:rFonts w:ascii="Calibri" w:hAnsi="Calibri"/>
                <w:b/>
                <w:color w:val="FFFFFF"/>
                <w:sz w:val="17"/>
              </w:rPr>
              <w:t>Valuation basis</w:t>
            </w:r>
          </w:p>
        </w:tc>
        <w:tc>
          <w:tcPr>
            <w:tcW w:type="dxa" w:w="1872"/>
            <w:shd w:val="clear" w:color="auto" w:fill="1F2A44"/>
          </w:tcPr>
          <w:p>
            <w:r/>
            <w:r>
              <w:rPr>
                <w:rFonts w:ascii="Calibri" w:hAnsi="Calibri"/>
                <w:b/>
                <w:color w:val="FFFFFF"/>
                <w:sz w:val="17"/>
              </w:rPr>
              <w:t>Indicative valuation</w:t>
            </w:r>
          </w:p>
        </w:tc>
        <w:tc>
          <w:tcPr>
            <w:tcW w:type="dxa" w:w="2016"/>
            <w:shd w:val="clear" w:color="auto" w:fill="1F2A44"/>
          </w:tcPr>
          <w:p>
            <w:r/>
            <w:r>
              <w:rPr>
                <w:rFonts w:ascii="Calibri" w:hAnsi="Calibri"/>
                <w:b/>
                <w:color w:val="FFFFFF"/>
                <w:sz w:val="17"/>
              </w:rPr>
              <w:t>Key dependency</w:t>
            </w:r>
          </w:p>
        </w:tc>
      </w:tr>
      <w:tr>
        <w:tc>
          <w:tcPr>
            <w:tcW w:type="dxa" w:w="2160"/>
          </w:tcPr>
          <w:p>
            <w:r/>
            <w:r>
              <w:rPr>
                <w:rFonts w:ascii="Calibri" w:hAnsi="Calibri"/>
                <w:b w:val="0"/>
                <w:sz w:val="17"/>
              </w:rPr>
              <w:t>5 paying companies</w:t>
            </w:r>
          </w:p>
        </w:tc>
        <w:tc>
          <w:tcPr>
            <w:tcW w:type="dxa" w:w="1728"/>
          </w:tcPr>
          <w:p>
            <w:r/>
            <w:r>
              <w:rPr>
                <w:rFonts w:ascii="Calibri" w:hAnsi="Calibri"/>
                <w:b w:val="0"/>
                <w:sz w:val="17"/>
              </w:rPr>
              <w:t>~USD 20k–50k</w:t>
            </w:r>
          </w:p>
        </w:tc>
        <w:tc>
          <w:tcPr>
            <w:tcW w:type="dxa" w:w="2880"/>
          </w:tcPr>
          <w:p>
            <w:r/>
            <w:r>
              <w:rPr>
                <w:rFonts w:ascii="Calibri" w:hAnsi="Calibri"/>
                <w:b w:val="0"/>
                <w:sz w:val="17"/>
              </w:rPr>
              <w:t>Pre-seed/seed — team + product, not multiple</w:t>
            </w:r>
          </w:p>
        </w:tc>
        <w:tc>
          <w:tcPr>
            <w:tcW w:type="dxa" w:w="1872"/>
          </w:tcPr>
          <w:p>
            <w:r/>
            <w:r>
              <w:rPr>
                <w:rFonts w:ascii="Calibri" w:hAnsi="Calibri"/>
                <w:b w:val="0"/>
                <w:sz w:val="17"/>
              </w:rPr>
              <w:t>USD 0.8M – 2.5M</w:t>
            </w:r>
          </w:p>
        </w:tc>
        <w:tc>
          <w:tcPr>
            <w:tcW w:type="dxa" w:w="2016"/>
          </w:tcPr>
          <w:p>
            <w:r/>
            <w:r>
              <w:rPr>
                <w:rFonts w:ascii="Calibri" w:hAnsi="Calibri"/>
                <w:b w:val="0"/>
                <w:sz w:val="17"/>
              </w:rPr>
              <w:t>Founder/team quality; early retention</w:t>
            </w:r>
          </w:p>
        </w:tc>
      </w:tr>
      <w:tr>
        <w:tc>
          <w:tcPr>
            <w:tcW w:type="dxa" w:w="2160"/>
            <w:shd w:val="clear" w:color="auto" w:fill="F2F4F8"/>
          </w:tcPr>
          <w:p>
            <w:r/>
            <w:r>
              <w:rPr>
                <w:rFonts w:ascii="Calibri" w:hAnsi="Calibri"/>
                <w:b w:val="0"/>
                <w:sz w:val="17"/>
              </w:rPr>
              <w:t>25 paying companies</w:t>
            </w:r>
          </w:p>
        </w:tc>
        <w:tc>
          <w:tcPr>
            <w:tcW w:type="dxa" w:w="1728"/>
            <w:shd w:val="clear" w:color="auto" w:fill="F2F4F8"/>
          </w:tcPr>
          <w:p>
            <w:r/>
            <w:r>
              <w:rPr>
                <w:rFonts w:ascii="Calibri" w:hAnsi="Calibri"/>
                <w:b w:val="0"/>
                <w:sz w:val="17"/>
              </w:rPr>
              <w:t>~USD 100k–250k</w:t>
            </w:r>
          </w:p>
        </w:tc>
        <w:tc>
          <w:tcPr>
            <w:tcW w:type="dxa" w:w="2880"/>
            <w:shd w:val="clear" w:color="auto" w:fill="F2F4F8"/>
          </w:tcPr>
          <w:p>
            <w:r/>
            <w:r>
              <w:rPr>
                <w:rFonts w:ascii="Calibri" w:hAnsi="Calibri"/>
                <w:b w:val="0"/>
                <w:sz w:val="17"/>
              </w:rPr>
              <w:t>Seed — 4–8× ARR + traction premium</w:t>
            </w:r>
          </w:p>
        </w:tc>
        <w:tc>
          <w:tcPr>
            <w:tcW w:type="dxa" w:w="1872"/>
            <w:shd w:val="clear" w:color="auto" w:fill="F2F4F8"/>
          </w:tcPr>
          <w:p>
            <w:r/>
            <w:r>
              <w:rPr>
                <w:rFonts w:ascii="Calibri" w:hAnsi="Calibri"/>
                <w:b w:val="0"/>
                <w:sz w:val="17"/>
              </w:rPr>
              <w:t>USD 2M – 6M</w:t>
            </w:r>
          </w:p>
        </w:tc>
        <w:tc>
          <w:tcPr>
            <w:tcW w:type="dxa" w:w="2016"/>
            <w:shd w:val="clear" w:color="auto" w:fill="F2F4F8"/>
          </w:tcPr>
          <w:p>
            <w:r/>
            <w:r>
              <w:rPr>
                <w:rFonts w:ascii="Calibri" w:hAnsi="Calibri"/>
                <w:b w:val="0"/>
                <w:sz w:val="17"/>
              </w:rPr>
              <w:t>Product-market signal; churn &lt; 3%/mo</w:t>
            </w:r>
          </w:p>
        </w:tc>
      </w:tr>
      <w:tr>
        <w:tc>
          <w:tcPr>
            <w:tcW w:type="dxa" w:w="2160"/>
          </w:tcPr>
          <w:p>
            <w:r/>
            <w:r>
              <w:rPr>
                <w:rFonts w:ascii="Calibri" w:hAnsi="Calibri"/>
                <w:b w:val="0"/>
                <w:sz w:val="17"/>
              </w:rPr>
              <w:t>100 paying companies</w:t>
            </w:r>
          </w:p>
        </w:tc>
        <w:tc>
          <w:tcPr>
            <w:tcW w:type="dxa" w:w="1728"/>
          </w:tcPr>
          <w:p>
            <w:r/>
            <w:r>
              <w:rPr>
                <w:rFonts w:ascii="Calibri" w:hAnsi="Calibri"/>
                <w:b w:val="0"/>
                <w:sz w:val="17"/>
              </w:rPr>
              <w:t>~USD 0.4M–1.0M</w:t>
            </w:r>
          </w:p>
        </w:tc>
        <w:tc>
          <w:tcPr>
            <w:tcW w:type="dxa" w:w="2880"/>
          </w:tcPr>
          <w:p>
            <w:r/>
            <w:r>
              <w:rPr>
                <w:rFonts w:ascii="Calibri" w:hAnsi="Calibri"/>
                <w:b w:val="0"/>
                <w:sz w:val="17"/>
              </w:rPr>
              <w:t>Seed/Series-A — multiple + growth</w:t>
            </w:r>
          </w:p>
        </w:tc>
        <w:tc>
          <w:tcPr>
            <w:tcW w:type="dxa" w:w="1872"/>
          </w:tcPr>
          <w:p>
            <w:r/>
            <w:r>
              <w:rPr>
                <w:rFonts w:ascii="Calibri" w:hAnsi="Calibri"/>
                <w:b w:val="0"/>
                <w:sz w:val="17"/>
              </w:rPr>
              <w:t>USD 4M – 12M</w:t>
            </w:r>
          </w:p>
        </w:tc>
        <w:tc>
          <w:tcPr>
            <w:tcW w:type="dxa" w:w="2016"/>
          </w:tcPr>
          <w:p>
            <w:r/>
            <w:r>
              <w:rPr>
                <w:rFonts w:ascii="Calibri" w:hAnsi="Calibri"/>
                <w:b w:val="0"/>
                <w:sz w:val="17"/>
              </w:rPr>
              <w:t>NRR &gt; 100%; distribution mix; CAC payback</w:t>
            </w:r>
          </w:p>
        </w:tc>
      </w:tr>
    </w:tbl>
    <w:p>
      <w:r>
        <w:rPr>
          <w:b w:val="0"/>
          <w:i/>
          <w:color w:val="555555"/>
          <w:sz w:val="18"/>
        </w:rPr>
        <w:t>Sensitivity: ranges shift materially with revenue mix (distribution ACV can be 2–3× pharmacy/retail), net revenue retention, and whether growth justifies the top of the multiple band. MENA/EG early-stage comps typically price below US/EU SaaS.</w:t>
      </w:r>
    </w:p>
    <w:p>
      <w:pPr>
        <w:pStyle w:val="Heading2"/>
      </w:pPr>
      <w:r>
        <w:rPr>
          <w:b/>
          <w:color w:val="1F2A44"/>
          <w:sz w:val="24"/>
        </w:rPr>
        <w:t>13.2 SaaS pricing models (indicative — to validate)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1F2A44"/>
          </w:tcPr>
          <w:p>
            <w:r/>
            <w:r>
              <w:rPr>
                <w:rFonts w:ascii="Calibri" w:hAnsi="Calibri"/>
                <w:b/>
                <w:color w:val="FFFFFF"/>
                <w:sz w:val="17"/>
              </w:rPr>
              <w:t>Model</w:t>
            </w:r>
          </w:p>
        </w:tc>
        <w:tc>
          <w:tcPr>
            <w:tcW w:type="dxa" w:w="3456"/>
            <w:shd w:val="clear" w:color="auto" w:fill="1F2A44"/>
          </w:tcPr>
          <w:p>
            <w:r/>
            <w:r>
              <w:rPr>
                <w:rFonts w:ascii="Calibri" w:hAnsi="Calibri"/>
                <w:b/>
                <w:color w:val="FFFFFF"/>
                <w:sz w:val="17"/>
              </w:rPr>
              <w:t>Structure</w:t>
            </w:r>
          </w:p>
        </w:tc>
        <w:tc>
          <w:tcPr>
            <w:tcW w:type="dxa" w:w="2448"/>
            <w:shd w:val="clear" w:color="auto" w:fill="1F2A44"/>
          </w:tcPr>
          <w:p>
            <w:r/>
            <w:r>
              <w:rPr>
                <w:rFonts w:ascii="Calibri" w:hAnsi="Calibri"/>
                <w:b/>
                <w:color w:val="FFFFFF"/>
                <w:sz w:val="17"/>
              </w:rPr>
              <w:t>Indicative range</w:t>
            </w:r>
          </w:p>
        </w:tc>
        <w:tc>
          <w:tcPr>
            <w:tcW w:type="dxa" w:w="2160"/>
            <w:shd w:val="clear" w:color="auto" w:fill="1F2A44"/>
          </w:tcPr>
          <w:p>
            <w:r/>
            <w:r>
              <w:rPr>
                <w:rFonts w:ascii="Calibri" w:hAnsi="Calibri"/>
                <w:b/>
                <w:color w:val="FFFFFF"/>
                <w:sz w:val="17"/>
              </w:rPr>
              <w:t>Fit</w:t>
            </w:r>
          </w:p>
        </w:tc>
      </w:tr>
      <w:tr>
        <w:tc>
          <w:tcPr>
            <w:tcW w:type="dxa" w:w="2304"/>
          </w:tcPr>
          <w:p>
            <w:r/>
            <w:r>
              <w:rPr>
                <w:rFonts w:ascii="Calibri" w:hAnsi="Calibri"/>
                <w:b w:val="0"/>
                <w:sz w:val="17"/>
              </w:rPr>
              <w:t>Per company (flat tier)</w:t>
            </w:r>
          </w:p>
        </w:tc>
        <w:tc>
          <w:tcPr>
            <w:tcW w:type="dxa" w:w="3456"/>
          </w:tcPr>
          <w:p>
            <w:r/>
            <w:r>
              <w:rPr>
                <w:rFonts w:ascii="Calibri" w:hAnsi="Calibri"/>
                <w:b w:val="0"/>
                <w:sz w:val="17"/>
              </w:rPr>
              <w:t>Lite / Standard / Enterprise monthly fee</w:t>
            </w:r>
          </w:p>
        </w:tc>
        <w:tc>
          <w:tcPr>
            <w:tcW w:type="dxa" w:w="2448"/>
          </w:tcPr>
          <w:p>
            <w:r/>
            <w:r>
              <w:rPr>
                <w:rFonts w:ascii="Calibri" w:hAnsi="Calibri"/>
                <w:b w:val="0"/>
                <w:sz w:val="17"/>
              </w:rPr>
              <w:t>~USD 50–150 / 150–400 / 400–1,200+ /mo</w:t>
            </w:r>
          </w:p>
        </w:tc>
        <w:tc>
          <w:tcPr>
            <w:tcW w:type="dxa" w:w="2160"/>
          </w:tcPr>
          <w:p>
            <w:r/>
            <w:r>
              <w:rPr>
                <w:rFonts w:ascii="Calibri" w:hAnsi="Calibri"/>
                <w:b w:val="0"/>
                <w:sz w:val="17"/>
              </w:rPr>
              <w:t>Simple, predictable; best for small SMEs</w:t>
            </w:r>
          </w:p>
        </w:tc>
      </w:tr>
      <w:tr>
        <w:tc>
          <w:tcPr>
            <w:tcW w:type="dxa" w:w="2304"/>
            <w:shd w:val="clear" w:color="auto" w:fill="F2F4F8"/>
          </w:tcPr>
          <w:p>
            <w:r/>
            <w:r>
              <w:rPr>
                <w:rFonts w:ascii="Calibri" w:hAnsi="Calibri"/>
                <w:b w:val="0"/>
                <w:sz w:val="17"/>
              </w:rPr>
              <w:t>Per user (seat)</w:t>
            </w:r>
          </w:p>
        </w:tc>
        <w:tc>
          <w:tcPr>
            <w:tcW w:type="dxa" w:w="3456"/>
            <w:shd w:val="clear" w:color="auto" w:fill="F2F4F8"/>
          </w:tcPr>
          <w:p>
            <w:r/>
            <w:r>
              <w:rPr>
                <w:rFonts w:ascii="Calibri" w:hAnsi="Calibri"/>
                <w:b w:val="0"/>
                <w:sz w:val="17"/>
              </w:rPr>
              <w:t>Price per active seat by tier</w:t>
            </w:r>
          </w:p>
        </w:tc>
        <w:tc>
          <w:tcPr>
            <w:tcW w:type="dxa" w:w="2448"/>
            <w:shd w:val="clear" w:color="auto" w:fill="F2F4F8"/>
          </w:tcPr>
          <w:p>
            <w:r/>
            <w:r>
              <w:rPr>
                <w:rFonts w:ascii="Calibri" w:hAnsi="Calibri"/>
                <w:b w:val="0"/>
                <w:sz w:val="17"/>
              </w:rPr>
              <w:t>~USD 8–25 / user / mo</w:t>
            </w:r>
          </w:p>
        </w:tc>
        <w:tc>
          <w:tcPr>
            <w:tcW w:type="dxa" w:w="2160"/>
            <w:shd w:val="clear" w:color="auto" w:fill="F2F4F8"/>
          </w:tcPr>
          <w:p>
            <w:r/>
            <w:r>
              <w:rPr>
                <w:rFonts w:ascii="Calibri" w:hAnsi="Calibri"/>
                <w:b w:val="0"/>
                <w:sz w:val="17"/>
              </w:rPr>
              <w:t>Scales with field-sales headcount (van/route)</w:t>
            </w:r>
          </w:p>
        </w:tc>
      </w:tr>
      <w:tr>
        <w:tc>
          <w:tcPr>
            <w:tcW w:type="dxa" w:w="2304"/>
          </w:tcPr>
          <w:p>
            <w:r/>
            <w:r>
              <w:rPr>
                <w:rFonts w:ascii="Calibri" w:hAnsi="Calibri"/>
                <w:b w:val="0"/>
                <w:sz w:val="17"/>
              </w:rPr>
              <w:t>Hybrid (recommended)</w:t>
            </w:r>
          </w:p>
        </w:tc>
        <w:tc>
          <w:tcPr>
            <w:tcW w:type="dxa" w:w="3456"/>
          </w:tcPr>
          <w:p>
            <w:r/>
            <w:r>
              <w:rPr>
                <w:rFonts w:ascii="Calibri" w:hAnsi="Calibri"/>
                <w:b w:val="0"/>
                <w:sz w:val="17"/>
              </w:rPr>
              <w:t>Base platform fee + per-seat + premium packs + integration fees</w:t>
            </w:r>
          </w:p>
        </w:tc>
        <w:tc>
          <w:tcPr>
            <w:tcW w:type="dxa" w:w="2448"/>
          </w:tcPr>
          <w:p>
            <w:r/>
            <w:r>
              <w:rPr>
                <w:rFonts w:ascii="Calibri" w:hAnsi="Calibri"/>
                <w:b w:val="0"/>
                <w:sz w:val="17"/>
              </w:rPr>
              <w:t>Base + seats + pack uplift</w:t>
            </w:r>
          </w:p>
        </w:tc>
        <w:tc>
          <w:tcPr>
            <w:tcW w:type="dxa" w:w="2160"/>
          </w:tcPr>
          <w:p>
            <w:r/>
            <w:r>
              <w:rPr>
                <w:rFonts w:ascii="Calibri" w:hAnsi="Calibri"/>
                <w:b w:val="0"/>
                <w:sz w:val="17"/>
              </w:rPr>
              <w:t>Captures small &amp; large tenants; price = value</w:t>
            </w:r>
          </w:p>
        </w:tc>
      </w:tr>
    </w:tbl>
    <w:p>
      <w:r>
        <w:rPr>
          <w:b w:val="0"/>
          <w:i w:val="0"/>
          <w:color w:val="1A1A1A"/>
          <w:sz w:val="19"/>
        </w:rPr>
        <w:t>Recommendation: lead with the HYBRID model — a modest base fee removes friction for small tenants, per-seat captures distributor headcount, and Distribution/Pharmacy 'Enterprise' packs monetise the differentiated depth.</w:t>
      </w:r>
    </w:p>
    <w:p>
      <w:pPr>
        <w:pStyle w:val="Heading2"/>
      </w:pPr>
      <w:r>
        <w:rPr>
          <w:b/>
          <w:color w:val="1F2A44"/>
          <w:sz w:val="24"/>
        </w:rPr>
        <w:t>13.3 TAM / SAM / SOM (order-of-magnitude; assumption-based — requires primary research)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val="clear" w:color="auto" w:fill="1F2A44"/>
          </w:tcPr>
          <w:p>
            <w:r/>
            <w:r>
              <w:rPr>
                <w:rFonts w:ascii="Calibri" w:hAnsi="Calibri"/>
                <w:b/>
                <w:color w:val="FFFFFF"/>
                <w:sz w:val="17"/>
              </w:rPr>
              <w:t>Segment (Egypt + GCC)</w:t>
            </w:r>
          </w:p>
        </w:tc>
        <w:tc>
          <w:tcPr>
            <w:tcW w:type="dxa" w:w="2304"/>
            <w:shd w:val="clear" w:color="auto" w:fill="1F2A44"/>
          </w:tcPr>
          <w:p>
            <w:r/>
            <w:r>
              <w:rPr>
                <w:rFonts w:ascii="Calibri" w:hAnsi="Calibri"/>
                <w:b/>
                <w:color w:val="FFFFFF"/>
                <w:sz w:val="17"/>
              </w:rPr>
              <w:t>TAM</w:t>
            </w:r>
          </w:p>
        </w:tc>
        <w:tc>
          <w:tcPr>
            <w:tcW w:type="dxa" w:w="2304"/>
            <w:shd w:val="clear" w:color="auto" w:fill="1F2A44"/>
          </w:tcPr>
          <w:p>
            <w:r/>
            <w:r>
              <w:rPr>
                <w:rFonts w:ascii="Calibri" w:hAnsi="Calibri"/>
                <w:b/>
                <w:color w:val="FFFFFF"/>
                <w:sz w:val="17"/>
              </w:rPr>
              <w:t>SAM</w:t>
            </w:r>
          </w:p>
        </w:tc>
        <w:tc>
          <w:tcPr>
            <w:tcW w:type="dxa" w:w="2304"/>
            <w:shd w:val="clear" w:color="auto" w:fill="1F2A44"/>
          </w:tcPr>
          <w:p>
            <w:r/>
            <w:r>
              <w:rPr>
                <w:rFonts w:ascii="Calibri" w:hAnsi="Calibri"/>
                <w:b/>
                <w:color w:val="FFFFFF"/>
                <w:sz w:val="17"/>
              </w:rPr>
              <w:t>SOM (3-yr realistic)</w:t>
            </w:r>
          </w:p>
        </w:tc>
      </w:tr>
      <w:tr>
        <w:tc>
          <w:tcPr>
            <w:tcW w:type="dxa" w:w="3456"/>
          </w:tcPr>
          <w:p>
            <w:r/>
            <w:r>
              <w:rPr>
                <w:rFonts w:ascii="Calibri" w:hAnsi="Calibri"/>
                <w:b w:val="0"/>
                <w:sz w:val="17"/>
              </w:rPr>
              <w:t>FMCG Distribution</w:t>
            </w:r>
          </w:p>
        </w:tc>
        <w:tc>
          <w:tcPr>
            <w:tcW w:type="dxa" w:w="2304"/>
          </w:tcPr>
          <w:p>
            <w:r/>
            <w:r>
              <w:rPr>
                <w:rFonts w:ascii="Calibri" w:hAnsi="Calibri"/>
                <w:b w:val="0"/>
                <w:sz w:val="17"/>
              </w:rPr>
              <w:t>USD 150M – 400M</w:t>
            </w:r>
          </w:p>
        </w:tc>
        <w:tc>
          <w:tcPr>
            <w:tcW w:type="dxa" w:w="2304"/>
          </w:tcPr>
          <w:p>
            <w:r/>
            <w:r>
              <w:rPr>
                <w:rFonts w:ascii="Calibri" w:hAnsi="Calibri"/>
                <w:b w:val="0"/>
                <w:sz w:val="17"/>
              </w:rPr>
              <w:t>USD 40M – 100M</w:t>
            </w:r>
          </w:p>
        </w:tc>
        <w:tc>
          <w:tcPr>
            <w:tcW w:type="dxa" w:w="2304"/>
          </w:tcPr>
          <w:p>
            <w:r/>
            <w:r>
              <w:rPr>
                <w:rFonts w:ascii="Calibri" w:hAnsi="Calibri"/>
                <w:b w:val="0"/>
                <w:sz w:val="17"/>
              </w:rPr>
              <w:t>USD 2M – 8M</w:t>
            </w:r>
          </w:p>
        </w:tc>
      </w:tr>
      <w:tr>
        <w:tc>
          <w:tcPr>
            <w:tcW w:type="dxa" w:w="3456"/>
            <w:shd w:val="clear" w:color="auto" w:fill="F2F4F8"/>
          </w:tcPr>
          <w:p>
            <w:r/>
            <w:r>
              <w:rPr>
                <w:rFonts w:ascii="Calibri" w:hAnsi="Calibri"/>
                <w:b w:val="0"/>
                <w:sz w:val="17"/>
              </w:rPr>
              <w:t>Pharmacy / Pharmacy chains</w:t>
            </w:r>
          </w:p>
        </w:tc>
        <w:tc>
          <w:tcPr>
            <w:tcW w:type="dxa" w:w="2304"/>
            <w:shd w:val="clear" w:color="auto" w:fill="F2F4F8"/>
          </w:tcPr>
          <w:p>
            <w:r/>
            <w:r>
              <w:rPr>
                <w:rFonts w:ascii="Calibri" w:hAnsi="Calibri"/>
                <w:b w:val="0"/>
                <w:sz w:val="17"/>
              </w:rPr>
              <w:t>USD 100M – 250M</w:t>
            </w:r>
          </w:p>
        </w:tc>
        <w:tc>
          <w:tcPr>
            <w:tcW w:type="dxa" w:w="2304"/>
            <w:shd w:val="clear" w:color="auto" w:fill="F2F4F8"/>
          </w:tcPr>
          <w:p>
            <w:r/>
            <w:r>
              <w:rPr>
                <w:rFonts w:ascii="Calibri" w:hAnsi="Calibri"/>
                <w:b w:val="0"/>
                <w:sz w:val="17"/>
              </w:rPr>
              <w:t>USD 25M – 60M</w:t>
            </w:r>
          </w:p>
        </w:tc>
        <w:tc>
          <w:tcPr>
            <w:tcW w:type="dxa" w:w="2304"/>
            <w:shd w:val="clear" w:color="auto" w:fill="F2F4F8"/>
          </w:tcPr>
          <w:p>
            <w:r/>
            <w:r>
              <w:rPr>
                <w:rFonts w:ascii="Calibri" w:hAnsi="Calibri"/>
                <w:b w:val="0"/>
                <w:sz w:val="17"/>
              </w:rPr>
              <w:t>USD 1.5M – 5M</w:t>
            </w:r>
          </w:p>
        </w:tc>
      </w:tr>
      <w:tr>
        <w:tc>
          <w:tcPr>
            <w:tcW w:type="dxa" w:w="3456"/>
          </w:tcPr>
          <w:p>
            <w:r/>
            <w:r>
              <w:rPr>
                <w:rFonts w:ascii="Calibri" w:hAnsi="Calibri"/>
                <w:b w:val="0"/>
                <w:sz w:val="17"/>
              </w:rPr>
              <w:t>Retail SME (multi-vertical)</w:t>
            </w:r>
          </w:p>
        </w:tc>
        <w:tc>
          <w:tcPr>
            <w:tcW w:type="dxa" w:w="2304"/>
          </w:tcPr>
          <w:p>
            <w:r/>
            <w:r>
              <w:rPr>
                <w:rFonts w:ascii="Calibri" w:hAnsi="Calibri"/>
                <w:b w:val="0"/>
                <w:sz w:val="17"/>
              </w:rPr>
              <w:t>USD 300M – 700M</w:t>
            </w:r>
          </w:p>
        </w:tc>
        <w:tc>
          <w:tcPr>
            <w:tcW w:type="dxa" w:w="2304"/>
          </w:tcPr>
          <w:p>
            <w:r/>
            <w:r>
              <w:rPr>
                <w:rFonts w:ascii="Calibri" w:hAnsi="Calibri"/>
                <w:b w:val="0"/>
                <w:sz w:val="17"/>
              </w:rPr>
              <w:t>USD 50M – 120M</w:t>
            </w:r>
          </w:p>
        </w:tc>
        <w:tc>
          <w:tcPr>
            <w:tcW w:type="dxa" w:w="2304"/>
          </w:tcPr>
          <w:p>
            <w:r/>
            <w:r>
              <w:rPr>
                <w:rFonts w:ascii="Calibri" w:hAnsi="Calibri"/>
                <w:b w:val="0"/>
                <w:sz w:val="17"/>
              </w:rPr>
              <w:t>USD 2M – 6M</w:t>
            </w:r>
          </w:p>
        </w:tc>
      </w:tr>
      <w:tr>
        <w:tc>
          <w:tcPr>
            <w:tcW w:type="dxa" w:w="3456"/>
            <w:shd w:val="clear" w:color="auto" w:fill="F2F4F8"/>
          </w:tcPr>
          <w:p>
            <w:r/>
            <w:r>
              <w:rPr>
                <w:rFonts w:ascii="Calibri" w:hAnsi="Calibri"/>
                <w:b w:val="0"/>
                <w:sz w:val="17"/>
              </w:rPr>
              <w:t>Combined (EG + GCC)</w:t>
            </w:r>
          </w:p>
        </w:tc>
        <w:tc>
          <w:tcPr>
            <w:tcW w:type="dxa" w:w="2304"/>
            <w:shd w:val="clear" w:color="auto" w:fill="F2F4F8"/>
          </w:tcPr>
          <w:p>
            <w:r/>
            <w:r>
              <w:rPr>
                <w:rFonts w:ascii="Calibri" w:hAnsi="Calibri"/>
                <w:b w:val="0"/>
                <w:sz w:val="17"/>
              </w:rPr>
              <w:t>USD 0.55B – 1.35B</w:t>
            </w:r>
          </w:p>
        </w:tc>
        <w:tc>
          <w:tcPr>
            <w:tcW w:type="dxa" w:w="2304"/>
            <w:shd w:val="clear" w:color="auto" w:fill="F2F4F8"/>
          </w:tcPr>
          <w:p>
            <w:r/>
            <w:r>
              <w:rPr>
                <w:rFonts w:ascii="Calibri" w:hAnsi="Calibri"/>
                <w:b w:val="0"/>
                <w:sz w:val="17"/>
              </w:rPr>
              <w:t>USD 115M – 280M</w:t>
            </w:r>
          </w:p>
        </w:tc>
        <w:tc>
          <w:tcPr>
            <w:tcW w:type="dxa" w:w="2304"/>
            <w:shd w:val="clear" w:color="auto" w:fill="F2F4F8"/>
          </w:tcPr>
          <w:p>
            <w:r/>
            <w:r>
              <w:rPr>
                <w:rFonts w:ascii="Calibri" w:hAnsi="Calibri"/>
                <w:b w:val="0"/>
                <w:sz w:val="17"/>
              </w:rPr>
              <w:t>USD 5M – 18M</w:t>
            </w:r>
          </w:p>
        </w:tc>
      </w:tr>
    </w:tbl>
    <w:p>
      <w:r>
        <w:rPr>
          <w:b w:val="0"/>
          <w:i/>
          <w:color w:val="555555"/>
          <w:sz w:val="18"/>
        </w:rPr>
        <w:t>Method: addressable business counts × estimated annual software spend, discounted for SaaS-reachable SMEs and competitive density. These are SCOPING brackets to frame the opportunity, not a validated market study.</w:t>
      </w:r>
    </w:p>
    <w:p>
      <w:pPr>
        <w:pStyle w:val="Heading2"/>
      </w:pPr>
      <w:r>
        <w:rPr>
          <w:b/>
          <w:color w:val="1F2A44"/>
          <w:sz w:val="24"/>
        </w:rPr>
        <w:t>13.4 Exit opportunities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color="auto" w:fill="1F2A44"/>
          </w:tcPr>
          <w:p>
            <w:r/>
            <w:r>
              <w:rPr>
                <w:rFonts w:ascii="Calibri" w:hAnsi="Calibri"/>
                <w:b/>
                <w:color w:val="FFFFFF"/>
                <w:sz w:val="17"/>
              </w:rPr>
              <w:t>Path</w:t>
            </w:r>
          </w:p>
        </w:tc>
        <w:tc>
          <w:tcPr>
            <w:tcW w:type="dxa" w:w="3312"/>
            <w:shd w:val="clear" w:color="auto" w:fill="1F2A44"/>
          </w:tcPr>
          <w:p>
            <w:r/>
            <w:r>
              <w:rPr>
                <w:rFonts w:ascii="Calibri" w:hAnsi="Calibri"/>
                <w:b/>
                <w:color w:val="FFFFFF"/>
                <w:sz w:val="17"/>
              </w:rPr>
              <w:t>Likely acquirers (archetype)</w:t>
            </w:r>
          </w:p>
        </w:tc>
        <w:tc>
          <w:tcPr>
            <w:tcW w:type="dxa" w:w="2880"/>
            <w:shd w:val="clear" w:color="auto" w:fill="1F2A44"/>
          </w:tcPr>
          <w:p>
            <w:r/>
            <w:r>
              <w:rPr>
                <w:rFonts w:ascii="Calibri" w:hAnsi="Calibri"/>
                <w:b/>
                <w:color w:val="FFFFFF"/>
                <w:sz w:val="17"/>
              </w:rPr>
              <w:t>Rationale</w:t>
            </w:r>
          </w:p>
        </w:tc>
        <w:tc>
          <w:tcPr>
            <w:tcW w:type="dxa" w:w="1728"/>
            <w:shd w:val="clear" w:color="auto" w:fill="1F2A44"/>
          </w:tcPr>
          <w:p>
            <w:r/>
            <w:r>
              <w:rPr>
                <w:rFonts w:ascii="Calibri" w:hAnsi="Calibri"/>
                <w:b/>
                <w:color w:val="FFFFFF"/>
                <w:sz w:val="17"/>
              </w:rPr>
              <w:t>Credible at</w:t>
            </w:r>
          </w:p>
        </w:tc>
      </w:tr>
      <w:tr>
        <w:tc>
          <w:tcPr>
            <w:tcW w:type="dxa" w:w="2448"/>
          </w:tcPr>
          <w:p>
            <w:r/>
            <w:r>
              <w:rPr>
                <w:rFonts w:ascii="Calibri" w:hAnsi="Calibri"/>
                <w:b w:val="0"/>
                <w:sz w:val="17"/>
              </w:rPr>
              <w:t>Strategic acquisition</w:t>
            </w:r>
          </w:p>
        </w:tc>
        <w:tc>
          <w:tcPr>
            <w:tcW w:type="dxa" w:w="3312"/>
          </w:tcPr>
          <w:p>
            <w:r/>
            <w:r>
              <w:rPr>
                <w:rFonts w:ascii="Calibri" w:hAnsi="Calibri"/>
                <w:b w:val="0"/>
                <w:sz w:val="17"/>
              </w:rPr>
              <w:t>Regional FMCG/retail groups; telco/fintech super-apps bundling SME tools</w:t>
            </w:r>
          </w:p>
        </w:tc>
        <w:tc>
          <w:tcPr>
            <w:tcW w:type="dxa" w:w="2880"/>
          </w:tcPr>
          <w:p>
            <w:r/>
            <w:r>
              <w:rPr>
                <w:rFonts w:ascii="Calibri" w:hAnsi="Calibri"/>
                <w:b w:val="0"/>
                <w:sz w:val="17"/>
              </w:rPr>
              <w:t>Customer base + distribution data + embedded SME ecosystem</w:t>
            </w:r>
          </w:p>
        </w:tc>
        <w:tc>
          <w:tcPr>
            <w:tcW w:type="dxa" w:w="1728"/>
          </w:tcPr>
          <w:p>
            <w:r/>
            <w:r>
              <w:rPr>
                <w:rFonts w:ascii="Calibri" w:hAnsi="Calibri"/>
                <w:b w:val="0"/>
                <w:sz w:val="17"/>
              </w:rPr>
              <w:t>100+ tenants, retention proof</w:t>
            </w:r>
          </w:p>
        </w:tc>
      </w:tr>
      <w:tr>
        <w:tc>
          <w:tcPr>
            <w:tcW w:type="dxa" w:w="2448"/>
            <w:shd w:val="clear" w:color="auto" w:fill="F2F4F8"/>
          </w:tcPr>
          <w:p>
            <w:r/>
            <w:r>
              <w:rPr>
                <w:rFonts w:ascii="Calibri" w:hAnsi="Calibri"/>
                <w:b w:val="0"/>
                <w:sz w:val="17"/>
              </w:rPr>
              <w:t>ERP vendor acquisition</w:t>
            </w:r>
          </w:p>
        </w:tc>
        <w:tc>
          <w:tcPr>
            <w:tcW w:type="dxa" w:w="3312"/>
            <w:shd w:val="clear" w:color="auto" w:fill="F2F4F8"/>
          </w:tcPr>
          <w:p>
            <w:r/>
            <w:r>
              <w:rPr>
                <w:rFonts w:ascii="Calibri" w:hAnsi="Calibri"/>
                <w:b w:val="0"/>
                <w:sz w:val="17"/>
              </w:rPr>
              <w:t>Regional/global ERP players &amp; channel (Odoo/Zoho ecosystem, SAP/Oracle resellers, MENA ERPs)</w:t>
            </w:r>
          </w:p>
        </w:tc>
        <w:tc>
          <w:tcPr>
            <w:tcW w:type="dxa" w:w="2880"/>
            <w:shd w:val="clear" w:color="auto" w:fill="F2F4F8"/>
          </w:tcPr>
          <w:p>
            <w:r/>
            <w:r>
              <w:rPr>
                <w:rFonts w:ascii="Calibri" w:hAnsi="Calibri"/>
                <w:b w:val="0"/>
                <w:sz w:val="17"/>
              </w:rPr>
              <w:t>Vertical depth (pharmacy/FMCG) + MENA/Arabic footprint</w:t>
            </w:r>
          </w:p>
        </w:tc>
        <w:tc>
          <w:tcPr>
            <w:tcW w:type="dxa" w:w="1728"/>
            <w:shd w:val="clear" w:color="auto" w:fill="F2F4F8"/>
          </w:tcPr>
          <w:p>
            <w:r/>
            <w:r>
              <w:rPr>
                <w:rFonts w:ascii="Calibri" w:hAnsi="Calibri"/>
                <w:b w:val="0"/>
                <w:sz w:val="17"/>
              </w:rPr>
              <w:t>ARR scale; 3–6× ARR (higher if strategic)</w:t>
            </w:r>
          </w:p>
        </w:tc>
      </w:tr>
      <w:tr>
        <w:tc>
          <w:tcPr>
            <w:tcW w:type="dxa" w:w="2448"/>
          </w:tcPr>
          <w:p>
            <w:r/>
            <w:r>
              <w:rPr>
                <w:rFonts w:ascii="Calibri" w:hAnsi="Calibri"/>
                <w:b w:val="0"/>
                <w:sz w:val="17"/>
              </w:rPr>
              <w:t>Distribution-software acquisition</w:t>
            </w:r>
          </w:p>
        </w:tc>
        <w:tc>
          <w:tcPr>
            <w:tcW w:type="dxa" w:w="3312"/>
          </w:tcPr>
          <w:p>
            <w:r/>
            <w:r>
              <w:rPr>
                <w:rFonts w:ascii="Calibri" w:hAnsi="Calibri"/>
                <w:b w:val="0"/>
                <w:sz w:val="17"/>
              </w:rPr>
              <w:t>Route-accounting / van-sales vendors consolidating (SalesBuzz-type)</w:t>
            </w:r>
          </w:p>
        </w:tc>
        <w:tc>
          <w:tcPr>
            <w:tcW w:type="dxa" w:w="2880"/>
          </w:tcPr>
          <w:p>
            <w:r/>
            <w:r>
              <w:rPr>
                <w:rFonts w:ascii="Calibri" w:hAnsi="Calibri"/>
                <w:b w:val="0"/>
                <w:sz w:val="17"/>
              </w:rPr>
              <w:t>Tech + distributor customer base</w:t>
            </w:r>
          </w:p>
        </w:tc>
        <w:tc>
          <w:tcPr>
            <w:tcW w:type="dxa" w:w="1728"/>
          </w:tcPr>
          <w:p>
            <w:r/>
            <w:r>
              <w:rPr>
                <w:rFonts w:ascii="Calibri" w:hAnsi="Calibri"/>
                <w:b w:val="0"/>
                <w:sz w:val="17"/>
              </w:rPr>
              <w:t>Proven field-execution adoption</w:t>
            </w:r>
          </w:p>
        </w:tc>
      </w:tr>
    </w:tbl>
    <w:p>
      <w:r>
        <w:rPr>
          <w:b w:val="0"/>
          <w:i/>
          <w:color w:val="555555"/>
          <w:sz w:val="18"/>
        </w:rPr>
        <w:t>Exit timing is most credible past ~100 tenants / USD 0.5M+ ARR with demonstrated retention. Pre-traction, value is acqui-hire / IP-only.</w:t>
      </w:r>
    </w:p>
    <w:p>
      <w:pPr>
        <w:pStyle w:val="Heading2"/>
      </w:pPr>
      <w:r>
        <w:rPr>
          <w:b/>
          <w:color w:val="1F2A44"/>
          <w:sz w:val="24"/>
        </w:rPr>
        <w:t>13.5 Founder risk assessment</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2A44"/>
          </w:tcPr>
          <w:p>
            <w:r/>
            <w:r>
              <w:rPr>
                <w:rFonts w:ascii="Calibri" w:hAnsi="Calibri"/>
                <w:b/>
                <w:color w:val="FFFFFF"/>
                <w:sz w:val="17"/>
              </w:rPr>
              <w:t>Risk</w:t>
            </w:r>
          </w:p>
        </w:tc>
        <w:tc>
          <w:tcPr>
            <w:tcW w:type="dxa" w:w="1584"/>
            <w:shd w:val="clear" w:color="auto" w:fill="1F2A44"/>
          </w:tcPr>
          <w:p>
            <w:r/>
            <w:r>
              <w:rPr>
                <w:rFonts w:ascii="Calibri" w:hAnsi="Calibri"/>
                <w:b/>
                <w:color w:val="FFFFFF"/>
                <w:sz w:val="17"/>
              </w:rPr>
              <w:t>Level</w:t>
            </w:r>
          </w:p>
        </w:tc>
        <w:tc>
          <w:tcPr>
            <w:tcW w:type="dxa" w:w="6192"/>
            <w:shd w:val="clear" w:color="auto" w:fill="1F2A44"/>
          </w:tcPr>
          <w:p>
            <w:r/>
            <w:r>
              <w:rPr>
                <w:rFonts w:ascii="Calibri" w:hAnsi="Calibri"/>
                <w:b/>
                <w:color w:val="FFFFFF"/>
                <w:sz w:val="17"/>
              </w:rPr>
              <w:t>Detail &amp; mitigation</w:t>
            </w:r>
          </w:p>
        </w:tc>
      </w:tr>
      <w:tr>
        <w:tc>
          <w:tcPr>
            <w:tcW w:type="dxa" w:w="2592"/>
          </w:tcPr>
          <w:p>
            <w:r/>
            <w:r>
              <w:rPr>
                <w:rFonts w:ascii="Calibri" w:hAnsi="Calibri"/>
                <w:b w:val="0"/>
                <w:sz w:val="17"/>
              </w:rPr>
              <w:t>Single-founder risk</w:t>
            </w:r>
          </w:p>
        </w:tc>
        <w:tc>
          <w:tcPr>
            <w:tcW w:type="dxa" w:w="1584"/>
            <w:shd w:val="clear" w:color="auto" w:fill="F8E3E3"/>
          </w:tcPr>
          <w:p>
            <w:r/>
            <w:r>
              <w:rPr>
                <w:rFonts w:ascii="Calibri" w:hAnsi="Calibri"/>
                <w:b w:val="0"/>
                <w:sz w:val="17"/>
              </w:rPr>
              <w:t>High (to verify)</w:t>
            </w:r>
          </w:p>
        </w:tc>
        <w:tc>
          <w:tcPr>
            <w:tcW w:type="dxa" w:w="6192"/>
          </w:tcPr>
          <w:p>
            <w:r/>
            <w:r>
              <w:rPr>
                <w:rFonts w:ascii="Calibri" w:hAnsi="Calibri"/>
                <w:b w:val="0"/>
                <w:sz w:val="17"/>
              </w:rPr>
              <w:t>If one founder, key-person dependency; investors usually require a co-founder/CTO or early senior hires. (Team structure not confirmed in this review — diligence item.)</w:t>
            </w:r>
          </w:p>
        </w:tc>
      </w:tr>
      <w:tr>
        <w:tc>
          <w:tcPr>
            <w:tcW w:type="dxa" w:w="2592"/>
            <w:shd w:val="clear" w:color="auto" w:fill="F2F4F8"/>
          </w:tcPr>
          <w:p>
            <w:r/>
            <w:r>
              <w:rPr>
                <w:rFonts w:ascii="Calibri" w:hAnsi="Calibri"/>
                <w:b w:val="0"/>
                <w:sz w:val="17"/>
              </w:rPr>
              <w:t>Technical dependency risk</w:t>
            </w:r>
          </w:p>
        </w:tc>
        <w:tc>
          <w:tcPr>
            <w:tcW w:type="dxa" w:w="1584"/>
            <w:shd w:val="clear" w:color="auto" w:fill="F8E3E3"/>
          </w:tcPr>
          <w:p>
            <w:r/>
            <w:r>
              <w:rPr>
                <w:rFonts w:ascii="Calibri" w:hAnsi="Calibri"/>
                <w:b w:val="0"/>
                <w:sz w:val="17"/>
              </w:rPr>
              <w:t>High</w:t>
            </w:r>
          </w:p>
        </w:tc>
        <w:tc>
          <w:tcPr>
            <w:tcW w:type="dxa" w:w="6192"/>
            <w:shd w:val="clear" w:color="auto" w:fill="F2F4F8"/>
          </w:tcPr>
          <w:p>
            <w:r/>
            <w:r>
              <w:rPr>
                <w:rFonts w:ascii="Calibri" w:hAnsi="Calibri"/>
                <w:b w:val="0"/>
                <w:sz w:val="17"/>
              </w:rPr>
              <w:t>One large, fast-moving codebase with concentrated/AI-assisted knowledge → bus-factor risk; thin operator/API docs. Mitigation: hire senior engineers, document, add redundancy, code ownership.</w:t>
            </w:r>
          </w:p>
        </w:tc>
      </w:tr>
      <w:tr>
        <w:tc>
          <w:tcPr>
            <w:tcW w:type="dxa" w:w="2592"/>
          </w:tcPr>
          <w:p>
            <w:r/>
            <w:r>
              <w:rPr>
                <w:rFonts w:ascii="Calibri" w:hAnsi="Calibri"/>
                <w:b w:val="0"/>
                <w:sz w:val="17"/>
              </w:rPr>
              <w:t>Operational risk</w:t>
            </w:r>
          </w:p>
        </w:tc>
        <w:tc>
          <w:tcPr>
            <w:tcW w:type="dxa" w:w="1584"/>
            <w:shd w:val="clear" w:color="auto" w:fill="FBF1DD"/>
          </w:tcPr>
          <w:p>
            <w:r/>
            <w:r>
              <w:rPr>
                <w:rFonts w:ascii="Calibri" w:hAnsi="Calibri"/>
                <w:b w:val="0"/>
                <w:sz w:val="17"/>
              </w:rPr>
              <w:t>Medium–High</w:t>
            </w:r>
          </w:p>
        </w:tc>
        <w:tc>
          <w:tcPr>
            <w:tcW w:type="dxa" w:w="6192"/>
          </w:tcPr>
          <w:p>
            <w:r/>
            <w:r>
              <w:rPr>
                <w:rFonts w:ascii="Calibri" w:hAnsi="Calibri"/>
                <w:b w:val="0"/>
                <w:sz w:val="17"/>
              </w:rPr>
              <w:t>No proven ops team/runbooks; single environment; manual deploy/config steps caused the cutover incident. Mitigation: ops hire, runbooks, CI/CD hardening, monitoring/on-call.</w:t>
            </w:r>
          </w:p>
        </w:tc>
      </w:tr>
    </w:tbl>
    <w:p>
      <w:pPr>
        <w:pStyle w:val="Heading2"/>
      </w:pPr>
      <w:r>
        <w:rPr>
          <w:b/>
          <w:color w:val="1F2A44"/>
          <w:sz w:val="24"/>
        </w:rPr>
        <w:t>13.6 Investor recommendation (staged)</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1F2A44"/>
          </w:tcPr>
          <w:p>
            <w:r/>
            <w:r>
              <w:rPr>
                <w:rFonts w:ascii="Calibri" w:hAnsi="Calibri"/>
                <w:b/>
                <w:color w:val="FFFFFF"/>
                <w:sz w:val="17"/>
              </w:rPr>
              <w:t>Entry point</w:t>
            </w:r>
          </w:p>
        </w:tc>
        <w:tc>
          <w:tcPr>
            <w:tcW w:type="dxa" w:w="4320"/>
            <w:shd w:val="clear" w:color="auto" w:fill="1F2A44"/>
          </w:tcPr>
          <w:p>
            <w:r/>
            <w:r>
              <w:rPr>
                <w:rFonts w:ascii="Calibri" w:hAnsi="Calibri"/>
                <w:b/>
                <w:color w:val="FFFFFF"/>
                <w:sz w:val="17"/>
              </w:rPr>
              <w:t>Who it suits</w:t>
            </w:r>
          </w:p>
        </w:tc>
        <w:tc>
          <w:tcPr>
            <w:tcW w:type="dxa" w:w="2880"/>
            <w:shd w:val="clear" w:color="auto" w:fill="1F2A44"/>
          </w:tcPr>
          <w:p>
            <w:r/>
            <w:r>
              <w:rPr>
                <w:rFonts w:ascii="Calibri" w:hAnsi="Calibri"/>
                <w:b/>
                <w:color w:val="FFFFFF"/>
                <w:sz w:val="17"/>
              </w:rPr>
              <w:t>Verdict</w:t>
            </w:r>
          </w:p>
        </w:tc>
      </w:tr>
      <w:tr>
        <w:tc>
          <w:tcPr>
            <w:tcW w:type="dxa" w:w="3168"/>
          </w:tcPr>
          <w:p>
            <w:r/>
            <w:r>
              <w:rPr>
                <w:rFonts w:ascii="Calibri" w:hAnsi="Calibri"/>
                <w:b w:val="0"/>
                <w:sz w:val="17"/>
              </w:rPr>
              <w:t>Invest NOW</w:t>
            </w:r>
          </w:p>
        </w:tc>
        <w:tc>
          <w:tcPr>
            <w:tcW w:type="dxa" w:w="4320"/>
          </w:tcPr>
          <w:p>
            <w:r/>
            <w:r>
              <w:rPr>
                <w:rFonts w:ascii="Calibri" w:hAnsi="Calibri"/>
                <w:b w:val="0"/>
                <w:sz w:val="17"/>
              </w:rPr>
              <w:t>Risk-tolerant pre-seed angels betting on asset + founder</w:t>
            </w:r>
          </w:p>
        </w:tc>
        <w:tc>
          <w:tcPr>
            <w:tcW w:type="dxa" w:w="2880"/>
            <w:shd w:val="clear" w:color="auto" w:fill="FBF1DD"/>
          </w:tcPr>
          <w:p>
            <w:r/>
            <w:r>
              <w:rPr>
                <w:rFonts w:ascii="Calibri" w:hAnsi="Calibri"/>
                <w:b w:val="0"/>
                <w:sz w:val="17"/>
              </w:rPr>
              <w:t>Optional, small, milestone-gated check</w:t>
            </w:r>
          </w:p>
        </w:tc>
      </w:tr>
      <w:tr>
        <w:tc>
          <w:tcPr>
            <w:tcW w:type="dxa" w:w="3168"/>
            <w:shd w:val="clear" w:color="auto" w:fill="F2F4F8"/>
          </w:tcPr>
          <w:p>
            <w:r/>
            <w:r>
              <w:rPr>
                <w:rFonts w:ascii="Calibri" w:hAnsi="Calibri"/>
                <w:b w:val="0"/>
                <w:sz w:val="17"/>
              </w:rPr>
              <w:t>Invest AFTER PILOT</w:t>
            </w:r>
          </w:p>
        </w:tc>
        <w:tc>
          <w:tcPr>
            <w:tcW w:type="dxa" w:w="4320"/>
            <w:shd w:val="clear" w:color="auto" w:fill="F2F4F8"/>
          </w:tcPr>
          <w:p>
            <w:r/>
            <w:r>
              <w:rPr>
                <w:rFonts w:ascii="Calibri" w:hAnsi="Calibri"/>
                <w:b w:val="0"/>
                <w:sz w:val="17"/>
              </w:rPr>
              <w:t>Most seed investors — de-risks product + deployment</w:t>
            </w:r>
          </w:p>
        </w:tc>
        <w:tc>
          <w:tcPr>
            <w:tcW w:type="dxa" w:w="2880"/>
            <w:shd w:val="clear" w:color="auto" w:fill="E5F2E9"/>
          </w:tcPr>
          <w:p>
            <w:r/>
            <w:r>
              <w:rPr>
                <w:rFonts w:ascii="Calibri" w:hAnsi="Calibri"/>
                <w:b w:val="0"/>
                <w:sz w:val="17"/>
              </w:rPr>
              <w:t>RECOMMENDED primary entry</w:t>
            </w:r>
          </w:p>
        </w:tc>
      </w:tr>
      <w:tr>
        <w:tc>
          <w:tcPr>
            <w:tcW w:type="dxa" w:w="3168"/>
          </w:tcPr>
          <w:p>
            <w:r/>
            <w:r>
              <w:rPr>
                <w:rFonts w:ascii="Calibri" w:hAnsi="Calibri"/>
                <w:b w:val="0"/>
                <w:sz w:val="17"/>
              </w:rPr>
              <w:t>Invest AFTER FIRST PAYING CUSTOMER</w:t>
            </w:r>
          </w:p>
        </w:tc>
        <w:tc>
          <w:tcPr>
            <w:tcW w:type="dxa" w:w="4320"/>
          </w:tcPr>
          <w:p>
            <w:r/>
            <w:r>
              <w:rPr>
                <w:rFonts w:ascii="Calibri" w:hAnsi="Calibri"/>
                <w:b w:val="0"/>
                <w:sz w:val="17"/>
              </w:rPr>
              <w:t>Institutional seed — proves willingness-to-pay</w:t>
            </w:r>
          </w:p>
        </w:tc>
        <w:tc>
          <w:tcPr>
            <w:tcW w:type="dxa" w:w="2880"/>
            <w:shd w:val="clear" w:color="auto" w:fill="E5F2E9"/>
          </w:tcPr>
          <w:p>
            <w:r/>
            <w:r>
              <w:rPr>
                <w:rFonts w:ascii="Calibri" w:hAnsi="Calibri"/>
                <w:b w:val="0"/>
                <w:sz w:val="17"/>
              </w:rPr>
              <w:t>Lowest risk; strongest terms for investor</w:t>
            </w:r>
          </w:p>
        </w:tc>
      </w:tr>
    </w:tbl>
    <w:p>
      <w:r>
        <w:rPr>
          <w:b/>
          <w:i w:val="0"/>
          <w:color w:val="1F2A44"/>
          <w:sz w:val="20"/>
        </w:rPr>
        <w:t>Overall: INVEST AFTER PILOT — enter once the Amty/Nile pilots succeed on a correctly-targeted environment (which de-risks both product and the deployment fragility found in this review). A small optional pre-seed now is reasonable for aligned angels, structured as milestone tranches (pilot success → first paying customer → scale).</w:t>
      </w:r>
    </w:p>
    <w:p>
      <w:r>
        <w:rPr>
          <w:b w:val="0"/>
          <w:i/>
          <w:color w:val="555555"/>
          <w:sz w:val="17"/>
        </w:rPr>
        <w:t>Disclaimer: all valuations, pricing, and market sizes in this section are scenario estimates with stated assumptions, provided for board discussion — not financial advice, projections, or a substitute for primary research and diligence.</w:t>
      </w:r>
    </w:p>
    <w:p>
      <w:r>
        <w:br w:type="page"/>
      </w:r>
    </w:p>
    <w:p>
      <w:pPr>
        <w:pStyle w:val="Heading1"/>
      </w:pPr>
      <w:r>
        <w:rPr>
          <w:b/>
          <w:color w:val="1F2A44"/>
          <w:sz w:val="30"/>
        </w:rPr>
        <w:t>Appendix A — SWOT Analysis</w:t>
      </w:r>
    </w:p>
    <w:tbl>
      <w:tblPr>
        <w:tblStyle w:val="TableGrid"/>
        <w:tblW w:type="auto" w:w="0"/>
        <w:jc w:val="center"/>
        <w:tblLook w:firstColumn="1" w:firstRow="1" w:lastColumn="0" w:lastRow="0" w:noHBand="0" w:noVBand="1" w:val="04A0"/>
      </w:tblPr>
      <w:tblGrid>
        <w:gridCol w:w="4320"/>
        <w:gridCol w:w="4320"/>
      </w:tblGrid>
      <w:tr>
        <w:tc>
          <w:tcPr>
            <w:tcW w:type="dxa" w:w="5184"/>
            <w:shd w:val="clear" w:color="auto" w:fill="E5F2E9"/>
          </w:tcPr>
          <w:p>
            <w:r/>
            <w:r>
              <w:rPr>
                <w:b/>
                <w:color w:val="1F2A44"/>
                <w:sz w:val="22"/>
              </w:rPr>
              <w:t>Strengths</w:t>
            </w:r>
          </w:p>
          <w:p>
            <w:r>
              <w:rPr>
                <w:sz w:val="17"/>
              </w:rPr>
              <w:t>• True multi-tenant RLS isolation</w:t>
            </w:r>
          </w:p>
          <w:p>
            <w:r>
              <w:rPr>
                <w:sz w:val="17"/>
              </w:rPr>
              <w:t>• 90-permission RBAC, server-enforced</w:t>
            </w:r>
          </w:p>
          <w:p>
            <w:r>
              <w:rPr>
                <w:sz w:val="17"/>
              </w:rPr>
              <w:t>• Pack/business-type architecture</w:t>
            </w:r>
          </w:p>
          <w:p>
            <w:r>
              <w:rPr>
                <w:sz w:val="17"/>
              </w:rPr>
              <w:t>• Core ERP + distribution + pharmacy depth</w:t>
            </w:r>
          </w:p>
          <w:p>
            <w:r>
              <w:rPr>
                <w:sz w:val="17"/>
              </w:rPr>
              <w:t>• Audit-first governance + workflow</w:t>
            </w:r>
          </w:p>
          <w:p>
            <w:r>
              <w:rPr>
                <w:sz w:val="17"/>
              </w:rPr>
              <w:t>• Low SaaS TCO; Arabic/RTL fit</w:t>
            </w:r>
          </w:p>
        </w:tc>
        <w:tc>
          <w:tcPr>
            <w:tcW w:type="dxa" w:w="5184"/>
            <w:shd w:val="clear" w:color="auto" w:fill="FBF1DD"/>
          </w:tcPr>
          <w:p>
            <w:r/>
            <w:r>
              <w:rPr>
                <w:b/>
                <w:color w:val="1F2A44"/>
                <w:sz w:val="22"/>
              </w:rPr>
              <w:t>Weaknesses</w:t>
            </w:r>
          </w:p>
          <w:p>
            <w:r>
              <w:rPr>
                <w:sz w:val="17"/>
              </w:rPr>
              <w:t>• Deployment/config fragility (silent fallback)</w:t>
            </w:r>
          </w:p>
          <w:p>
            <w:r>
              <w:rPr>
                <w:sz w:val="17"/>
              </w:rPr>
              <w:t>• Single env; demo-only validation</w:t>
            </w:r>
          </w:p>
          <w:p>
            <w:r>
              <w:rPr>
                <w:sz w:val="17"/>
              </w:rPr>
              <w:t>• Security not hardened (creds, MFA, pen-test)</w:t>
            </w:r>
          </w:p>
          <w:p>
            <w:r>
              <w:rPr>
                <w:sz w:val="17"/>
              </w:rPr>
              <w:t>• Verticals broad but shallow</w:t>
            </w:r>
          </w:p>
          <w:p>
            <w:r>
              <w:rPr>
                <w:sz w:val="17"/>
              </w:rPr>
              <w:t>• No E2E/load/security test suites</w:t>
            </w:r>
          </w:p>
          <w:p>
            <w:r>
              <w:rPr>
                <w:sz w:val="17"/>
              </w:rPr>
              <w:t>• Thin operator/API documentation</w:t>
            </w:r>
          </w:p>
        </w:tc>
      </w:tr>
      <w:tr>
        <w:tc>
          <w:tcPr>
            <w:tcW w:type="dxa" w:w="5184"/>
            <w:shd w:val="clear" w:color="auto" w:fill="E5F2E9"/>
          </w:tcPr>
          <w:p>
            <w:r/>
            <w:r>
              <w:rPr>
                <w:b/>
                <w:color w:val="1F2A44"/>
                <w:sz w:val="22"/>
              </w:rPr>
              <w:t>Opportunities</w:t>
            </w:r>
          </w:p>
          <w:p>
            <w:r>
              <w:rPr>
                <w:sz w:val="17"/>
              </w:rPr>
              <w:t>• MENA FMCG/distribution + pharmacy chains</w:t>
            </w:r>
          </w:p>
          <w:p>
            <w:r>
              <w:rPr>
                <w:sz w:val="17"/>
              </w:rPr>
              <w:t>• One platform replaces 3–5 tools</w:t>
            </w:r>
          </w:p>
          <w:p>
            <w:r>
              <w:rPr>
                <w:sz w:val="17"/>
              </w:rPr>
              <w:t>• Industry-pack &amp; integration upsell</w:t>
            </w:r>
          </w:p>
          <w:p>
            <w:r>
              <w:rPr>
                <w:sz w:val="17"/>
              </w:rPr>
              <w:t>• ETA e-invoicing / local-compliance demand</w:t>
            </w:r>
          </w:p>
          <w:p>
            <w:r>
              <w:rPr>
                <w:sz w:val="17"/>
              </w:rPr>
              <w:t>• Partner/channel ecosystem</w:t>
            </w:r>
          </w:p>
          <w:p>
            <w:r>
              <w:rPr>
                <w:sz w:val="17"/>
              </w:rPr>
              <w:t>• Underserved Arabic-first SME market</w:t>
            </w:r>
          </w:p>
        </w:tc>
        <w:tc>
          <w:tcPr>
            <w:tcW w:type="dxa" w:w="5184"/>
            <w:shd w:val="clear" w:color="auto" w:fill="F8E3E3"/>
          </w:tcPr>
          <w:p>
            <w:r/>
            <w:r>
              <w:rPr>
                <w:b/>
                <w:color w:val="1F2A44"/>
                <w:sz w:val="22"/>
              </w:rPr>
              <w:t>Threats</w:t>
            </w:r>
          </w:p>
          <w:p>
            <w:r>
              <w:rPr>
                <w:sz w:val="17"/>
              </w:rPr>
              <w:t>• Mature field-sales incumbents (SalesBuzz)</w:t>
            </w:r>
          </w:p>
          <w:p>
            <w:r>
              <w:rPr>
                <w:sz w:val="17"/>
              </w:rPr>
              <w:t>• Broad ecosystems (Odoo/Zoho)</w:t>
            </w:r>
          </w:p>
          <w:p>
            <w:r>
              <w:rPr>
                <w:sz w:val="17"/>
              </w:rPr>
              <w:t>• Security/incident risk pre-hardening</w:t>
            </w:r>
          </w:p>
          <w:p>
            <w:r>
              <w:rPr>
                <w:sz w:val="17"/>
              </w:rPr>
              <w:t>• Execution/runway risk</w:t>
            </w:r>
          </w:p>
          <w:p>
            <w:r>
              <w:rPr>
                <w:sz w:val="17"/>
              </w:rPr>
              <w:t>• Migration/data-quality at onboarding</w:t>
            </w:r>
          </w:p>
          <w:p>
            <w:r>
              <w:rPr>
                <w:sz w:val="17"/>
              </w:rPr>
              <w:t>• Commoditisation / price pressure</w:t>
            </w:r>
          </w:p>
        </w:tc>
      </w:tr>
    </w:tbl>
    <w:p>
      <w:pPr>
        <w:pStyle w:val="Heading1"/>
      </w:pPr>
      <w:r>
        <w:rPr>
          <w:b/>
          <w:color w:val="1F2A44"/>
          <w:sz w:val="30"/>
        </w:rPr>
        <w:t>Appendix B — Readiness Scorecard</w:t>
      </w:r>
    </w:p>
    <w:tbl>
      <w:tblPr>
        <w:tblStyle w:val="TableGrid"/>
        <w:tblW w:type="auto" w:w="0"/>
        <w:jc w:val="center"/>
        <w:tblLook w:firstColumn="1" w:firstRow="1" w:lastColumn="0" w:lastRow="0" w:noHBand="0" w:noVBand="1" w:val="04A0"/>
      </w:tblPr>
      <w:tblGrid>
        <w:gridCol w:w="2880"/>
        <w:gridCol w:w="2880"/>
        <w:gridCol w:w="2880"/>
      </w:tblGrid>
      <w:tr>
        <w:tc>
          <w:tcPr>
            <w:tcW w:type="dxa" w:w="4608"/>
            <w:shd w:val="clear" w:color="auto" w:fill="1F2A44"/>
          </w:tcPr>
          <w:p>
            <w:r/>
            <w:r>
              <w:rPr>
                <w:rFonts w:ascii="Calibri" w:hAnsi="Calibri"/>
                <w:b/>
                <w:color w:val="FFFFFF"/>
                <w:sz w:val="17"/>
              </w:rPr>
              <w:t>Dimension</w:t>
            </w:r>
          </w:p>
        </w:tc>
        <w:tc>
          <w:tcPr>
            <w:tcW w:type="dxa" w:w="1440"/>
            <w:shd w:val="clear" w:color="auto" w:fill="1F2A44"/>
          </w:tcPr>
          <w:p>
            <w:r/>
            <w:r>
              <w:rPr>
                <w:rFonts w:ascii="Calibri" w:hAnsi="Calibri"/>
                <w:b/>
                <w:color w:val="FFFFFF"/>
                <w:sz w:val="17"/>
              </w:rPr>
              <w:t>Score</w:t>
            </w:r>
          </w:p>
        </w:tc>
        <w:tc>
          <w:tcPr>
            <w:tcW w:type="dxa" w:w="1728"/>
            <w:shd w:val="clear" w:color="auto" w:fill="1F2A44"/>
          </w:tcPr>
          <w:p>
            <w:r/>
            <w:r>
              <w:rPr>
                <w:rFonts w:ascii="Calibri" w:hAnsi="Calibri"/>
                <w:b/>
                <w:color w:val="FFFFFF"/>
                <w:sz w:val="17"/>
              </w:rPr>
              <w:t>Rating</w:t>
            </w:r>
          </w:p>
        </w:tc>
      </w:tr>
      <w:tr>
        <w:tc>
          <w:tcPr>
            <w:tcW w:type="dxa" w:w="4608"/>
          </w:tcPr>
          <w:p>
            <w:r/>
            <w:r>
              <w:rPr>
                <w:rFonts w:ascii="Calibri" w:hAnsi="Calibri"/>
                <w:b w:val="0"/>
                <w:sz w:val="17"/>
              </w:rPr>
              <w:t>Architecture &amp; multi-tenancy</w:t>
            </w:r>
          </w:p>
        </w:tc>
        <w:tc>
          <w:tcPr>
            <w:tcW w:type="dxa" w:w="1440"/>
          </w:tcPr>
          <w:p>
            <w:r/>
            <w:r>
              <w:rPr>
                <w:rFonts w:ascii="Calibri" w:hAnsi="Calibri"/>
                <w:b w:val="0"/>
                <w:sz w:val="17"/>
              </w:rPr>
              <w:t>82%</w:t>
            </w:r>
          </w:p>
        </w:tc>
        <w:tc>
          <w:tcPr>
            <w:tcW w:type="dxa" w:w="1728"/>
            <w:shd w:val="clear" w:color="auto" w:fill="E5F2E9"/>
          </w:tcPr>
          <w:p>
            <w:r/>
            <w:r>
              <w:rPr>
                <w:rFonts w:ascii="Calibri" w:hAnsi="Calibri"/>
                <w:b w:val="0"/>
                <w:sz w:val="17"/>
              </w:rPr>
              <w:t>Green</w:t>
            </w:r>
          </w:p>
        </w:tc>
      </w:tr>
      <w:tr>
        <w:tc>
          <w:tcPr>
            <w:tcW w:type="dxa" w:w="4608"/>
            <w:shd w:val="clear" w:color="auto" w:fill="F2F4F8"/>
          </w:tcPr>
          <w:p>
            <w:r/>
            <w:r>
              <w:rPr>
                <w:rFonts w:ascii="Calibri" w:hAnsi="Calibri"/>
                <w:b w:val="0"/>
                <w:sz w:val="17"/>
              </w:rPr>
              <w:t>Security &amp; compliance</w:t>
            </w:r>
          </w:p>
        </w:tc>
        <w:tc>
          <w:tcPr>
            <w:tcW w:type="dxa" w:w="1440"/>
            <w:shd w:val="clear" w:color="auto" w:fill="F2F4F8"/>
          </w:tcPr>
          <w:p>
            <w:r/>
            <w:r>
              <w:rPr>
                <w:rFonts w:ascii="Calibri" w:hAnsi="Calibri"/>
                <w:b w:val="0"/>
                <w:sz w:val="17"/>
              </w:rPr>
              <w:t>50%</w:t>
            </w:r>
          </w:p>
        </w:tc>
        <w:tc>
          <w:tcPr>
            <w:tcW w:type="dxa" w:w="1728"/>
            <w:shd w:val="clear" w:color="auto" w:fill="F8E3E3"/>
          </w:tcPr>
          <w:p>
            <w:r/>
            <w:r>
              <w:rPr>
                <w:rFonts w:ascii="Calibri" w:hAnsi="Calibri"/>
                <w:b w:val="0"/>
                <w:sz w:val="17"/>
              </w:rPr>
              <w:t>Red</w:t>
            </w:r>
          </w:p>
        </w:tc>
      </w:tr>
      <w:tr>
        <w:tc>
          <w:tcPr>
            <w:tcW w:type="dxa" w:w="4608"/>
          </w:tcPr>
          <w:p>
            <w:r/>
            <w:r>
              <w:rPr>
                <w:rFonts w:ascii="Calibri" w:hAnsi="Calibri"/>
                <w:b w:val="0"/>
                <w:sz w:val="17"/>
              </w:rPr>
              <w:t>FMCG/Distribution capability</w:t>
            </w:r>
          </w:p>
        </w:tc>
        <w:tc>
          <w:tcPr>
            <w:tcW w:type="dxa" w:w="1440"/>
          </w:tcPr>
          <w:p>
            <w:r/>
            <w:r>
              <w:rPr>
                <w:rFonts w:ascii="Calibri" w:hAnsi="Calibri"/>
                <w:b w:val="0"/>
                <w:sz w:val="17"/>
              </w:rPr>
              <w:t>78%</w:t>
            </w:r>
          </w:p>
        </w:tc>
        <w:tc>
          <w:tcPr>
            <w:tcW w:type="dxa" w:w="1728"/>
            <w:shd w:val="clear" w:color="auto" w:fill="FBF1DD"/>
          </w:tcPr>
          <w:p>
            <w:r/>
            <w:r>
              <w:rPr>
                <w:rFonts w:ascii="Calibri" w:hAnsi="Calibri"/>
                <w:b w:val="0"/>
                <w:sz w:val="17"/>
              </w:rPr>
              <w:t>Yellow</w:t>
            </w:r>
          </w:p>
        </w:tc>
      </w:tr>
      <w:tr>
        <w:tc>
          <w:tcPr>
            <w:tcW w:type="dxa" w:w="4608"/>
            <w:shd w:val="clear" w:color="auto" w:fill="F2F4F8"/>
          </w:tcPr>
          <w:p>
            <w:r/>
            <w:r>
              <w:rPr>
                <w:rFonts w:ascii="Calibri" w:hAnsi="Calibri"/>
                <w:b w:val="0"/>
                <w:sz w:val="17"/>
              </w:rPr>
              <w:t>Pharmacy capability</w:t>
            </w:r>
          </w:p>
        </w:tc>
        <w:tc>
          <w:tcPr>
            <w:tcW w:type="dxa" w:w="1440"/>
            <w:shd w:val="clear" w:color="auto" w:fill="F2F4F8"/>
          </w:tcPr>
          <w:p>
            <w:r/>
            <w:r>
              <w:rPr>
                <w:rFonts w:ascii="Calibri" w:hAnsi="Calibri"/>
                <w:b w:val="0"/>
                <w:sz w:val="17"/>
              </w:rPr>
              <w:t>85%</w:t>
            </w:r>
          </w:p>
        </w:tc>
        <w:tc>
          <w:tcPr>
            <w:tcW w:type="dxa" w:w="1728"/>
            <w:shd w:val="clear" w:color="auto" w:fill="E5F2E9"/>
          </w:tcPr>
          <w:p>
            <w:r/>
            <w:r>
              <w:rPr>
                <w:rFonts w:ascii="Calibri" w:hAnsi="Calibri"/>
                <w:b w:val="0"/>
                <w:sz w:val="17"/>
              </w:rPr>
              <w:t>Green</w:t>
            </w:r>
          </w:p>
        </w:tc>
      </w:tr>
      <w:tr>
        <w:tc>
          <w:tcPr>
            <w:tcW w:type="dxa" w:w="4608"/>
          </w:tcPr>
          <w:p>
            <w:r/>
            <w:r>
              <w:rPr>
                <w:rFonts w:ascii="Calibri" w:hAnsi="Calibri"/>
                <w:b w:val="0"/>
                <w:sz w:val="17"/>
              </w:rPr>
              <w:t>Testing &amp; quality</w:t>
            </w:r>
          </w:p>
        </w:tc>
        <w:tc>
          <w:tcPr>
            <w:tcW w:type="dxa" w:w="1440"/>
          </w:tcPr>
          <w:p>
            <w:r/>
            <w:r>
              <w:rPr>
                <w:rFonts w:ascii="Calibri" w:hAnsi="Calibri"/>
                <w:b w:val="0"/>
                <w:sz w:val="17"/>
              </w:rPr>
              <w:t>60%</w:t>
            </w:r>
          </w:p>
        </w:tc>
        <w:tc>
          <w:tcPr>
            <w:tcW w:type="dxa" w:w="1728"/>
            <w:shd w:val="clear" w:color="auto" w:fill="FBF1DD"/>
          </w:tcPr>
          <w:p>
            <w:r/>
            <w:r>
              <w:rPr>
                <w:rFonts w:ascii="Calibri" w:hAnsi="Calibri"/>
                <w:b w:val="0"/>
                <w:sz w:val="17"/>
              </w:rPr>
              <w:t>Yellow</w:t>
            </w:r>
          </w:p>
        </w:tc>
      </w:tr>
      <w:tr>
        <w:tc>
          <w:tcPr>
            <w:tcW w:type="dxa" w:w="4608"/>
            <w:shd w:val="clear" w:color="auto" w:fill="F2F4F8"/>
          </w:tcPr>
          <w:p>
            <w:r/>
            <w:r>
              <w:rPr>
                <w:rFonts w:ascii="Calibri" w:hAnsi="Calibri"/>
                <w:b w:val="0"/>
                <w:sz w:val="17"/>
              </w:rPr>
              <w:t>Deployment &amp; operations</w:t>
            </w:r>
          </w:p>
        </w:tc>
        <w:tc>
          <w:tcPr>
            <w:tcW w:type="dxa" w:w="1440"/>
            <w:shd w:val="clear" w:color="auto" w:fill="F2F4F8"/>
          </w:tcPr>
          <w:p>
            <w:r/>
            <w:r>
              <w:rPr>
                <w:rFonts w:ascii="Calibri" w:hAnsi="Calibri"/>
                <w:b w:val="0"/>
                <w:sz w:val="17"/>
              </w:rPr>
              <w:t>45%</w:t>
            </w:r>
          </w:p>
        </w:tc>
        <w:tc>
          <w:tcPr>
            <w:tcW w:type="dxa" w:w="1728"/>
            <w:shd w:val="clear" w:color="auto" w:fill="F8E3E3"/>
          </w:tcPr>
          <w:p>
            <w:r/>
            <w:r>
              <w:rPr>
                <w:rFonts w:ascii="Calibri" w:hAnsi="Calibri"/>
                <w:b w:val="0"/>
                <w:sz w:val="17"/>
              </w:rPr>
              <w:t>Red</w:t>
            </w:r>
          </w:p>
        </w:tc>
      </w:tr>
      <w:tr>
        <w:tc>
          <w:tcPr>
            <w:tcW w:type="dxa" w:w="4608"/>
          </w:tcPr>
          <w:p>
            <w:r/>
            <w:r>
              <w:rPr>
                <w:rFonts w:ascii="Calibri" w:hAnsi="Calibri"/>
                <w:b w:val="0"/>
                <w:sz w:val="17"/>
              </w:rPr>
              <w:t>Documentation</w:t>
            </w:r>
          </w:p>
        </w:tc>
        <w:tc>
          <w:tcPr>
            <w:tcW w:type="dxa" w:w="1440"/>
          </w:tcPr>
          <w:p>
            <w:r/>
            <w:r>
              <w:rPr>
                <w:rFonts w:ascii="Calibri" w:hAnsi="Calibri"/>
                <w:b w:val="0"/>
                <w:sz w:val="17"/>
              </w:rPr>
              <w:t>55%</w:t>
            </w:r>
          </w:p>
        </w:tc>
        <w:tc>
          <w:tcPr>
            <w:tcW w:type="dxa" w:w="1728"/>
            <w:shd w:val="clear" w:color="auto" w:fill="FBF1DD"/>
          </w:tcPr>
          <w:p>
            <w:r/>
            <w:r>
              <w:rPr>
                <w:rFonts w:ascii="Calibri" w:hAnsi="Calibri"/>
                <w:b w:val="0"/>
                <w:sz w:val="17"/>
              </w:rPr>
              <w:t>Yellow</w:t>
            </w:r>
          </w:p>
        </w:tc>
      </w:tr>
      <w:tr>
        <w:tc>
          <w:tcPr>
            <w:tcW w:type="dxa" w:w="4608"/>
            <w:shd w:val="clear" w:color="auto" w:fill="F2F4F8"/>
          </w:tcPr>
          <w:p>
            <w:r/>
            <w:r>
              <w:rPr>
                <w:rFonts w:ascii="Calibri" w:hAnsi="Calibri"/>
                <w:b w:val="0"/>
                <w:sz w:val="17"/>
              </w:rPr>
              <w:t>Commercial validation</w:t>
            </w:r>
          </w:p>
        </w:tc>
        <w:tc>
          <w:tcPr>
            <w:tcW w:type="dxa" w:w="1440"/>
            <w:shd w:val="clear" w:color="auto" w:fill="F2F4F8"/>
          </w:tcPr>
          <w:p>
            <w:r/>
            <w:r>
              <w:rPr>
                <w:rFonts w:ascii="Calibri" w:hAnsi="Calibri"/>
                <w:b w:val="0"/>
                <w:sz w:val="17"/>
              </w:rPr>
              <w:t>35%</w:t>
            </w:r>
          </w:p>
        </w:tc>
        <w:tc>
          <w:tcPr>
            <w:tcW w:type="dxa" w:w="1728"/>
            <w:shd w:val="clear" w:color="auto" w:fill="F8E3E3"/>
          </w:tcPr>
          <w:p>
            <w:r/>
            <w:r>
              <w:rPr>
                <w:rFonts w:ascii="Calibri" w:hAnsi="Calibri"/>
                <w:b w:val="0"/>
                <w:sz w:val="17"/>
              </w:rPr>
              <w:t>Red</w:t>
            </w:r>
          </w:p>
        </w:tc>
      </w:tr>
      <w:tr>
        <w:tc>
          <w:tcPr>
            <w:tcW w:type="dxa" w:w="4608"/>
          </w:tcPr>
          <w:p>
            <w:r/>
            <w:r>
              <w:rPr>
                <w:rFonts w:ascii="Calibri" w:hAnsi="Calibri"/>
                <w:b w:val="0"/>
                <w:sz w:val="17"/>
              </w:rPr>
              <w:t>OVERALL</w:t>
            </w:r>
          </w:p>
        </w:tc>
        <w:tc>
          <w:tcPr>
            <w:tcW w:type="dxa" w:w="1440"/>
          </w:tcPr>
          <w:p>
            <w:r/>
            <w:r>
              <w:rPr>
                <w:rFonts w:ascii="Calibri" w:hAnsi="Calibri"/>
                <w:b w:val="0"/>
                <w:sz w:val="17"/>
              </w:rPr>
              <w:t>68%</w:t>
            </w:r>
          </w:p>
        </w:tc>
        <w:tc>
          <w:tcPr>
            <w:tcW w:type="dxa" w:w="1728"/>
            <w:shd w:val="clear" w:color="auto" w:fill="FBF1DD"/>
          </w:tcPr>
          <w:p>
            <w:r/>
            <w:r>
              <w:rPr>
                <w:rFonts w:ascii="Calibri" w:hAnsi="Calibri"/>
                <w:b w:val="0"/>
                <w:sz w:val="17"/>
              </w:rPr>
              <w:t>Yellow</w:t>
            </w:r>
          </w:p>
        </w:tc>
      </w:tr>
    </w:tbl>
    <w:p>
      <w:r>
        <w:rPr>
          <w:b w:val="0"/>
          <w:i/>
          <w:color w:val="555555"/>
          <w:sz w:val="17"/>
        </w:rPr>
        <w:t>Ratings: Green = ready / strong · Yellow = conditional / in-progress · Red = not ready / material gap. Scores are an independent assessment from the evidence in this review, not a vendor self-rating.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