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Phase A — Business Impact Review</w:t>
      </w:r>
    </w:p>
    <w:p>
      <w:pPr>
        <w:jc w:val="center"/>
      </w:pPr>
      <w:r>
        <w:rPr>
          <w:color w:val="555555"/>
          <w:sz w:val="26"/>
        </w:rPr>
        <w:t>Per-item Go / No-Go decision report (A1–A5)</w:t>
      </w:r>
    </w:p>
    <w:p/>
    <w:p/>
    <w:p>
      <w:pPr>
        <w:jc w:val="center"/>
      </w:pPr>
      <w:r>
        <w:rPr>
          <w:i/>
          <w:color w:val="555555"/>
          <w:sz w:val="18"/>
        </w:rPr>
        <w:t>Evidence-based from the codebase · No code changes · Decision report only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How to read this report</w:t>
      </w:r>
    </w:p>
    <w:p>
      <w:r>
        <w:rPr>
          <w:b/>
          <w:i w:val="0"/>
          <w:color w:val="1A1A1A"/>
          <w:sz w:val="20"/>
        </w:rPr>
        <w:t>Each Phase A item (A1–A5) is reviewed independently against the live codebase — exact files, exact lines, and the six impact dimensions you asked for. Every item gets its own rollback plan, risk score, and a standalone Go / No-Go. Items are NOT batched. No code was changed to produce this; it is a decision report.</w:t>
      </w:r>
    </w:p>
    <w:p>
      <w:pPr>
        <w:pStyle w:val="Heading2"/>
      </w:pPr>
      <w:r>
        <w:rPr>
          <w:b/>
          <w:color w:val="1B4F9E"/>
          <w:sz w:val="22"/>
        </w:rPr>
        <w:t>Headline recommendation</w:t>
      </w:r>
    </w:p>
    <w:p>
      <w:r>
        <w:rPr>
          <w:b/>
          <w:i w:val="0"/>
          <w:color w:val="B31B1B"/>
          <w:sz w:val="20"/>
        </w:rPr>
        <w:t>Four of the five items are safe to execute. ONE — A2 (permission aliasing) — must remain roadmap-only. The codebase shows the so-called 'duplicate' permission families are in fact intentionally distinct, separately-enforced permissions (e.g. report.aggregate.view is a deliberate scale-safe boundary; stock.* gates van operations while inventory.* gates the warehouse). Aliasing them would change effective access for real roles — that is not a Phase A hygiene change, it is a structural permission redesign and belongs in Phase C.</w:t>
      </w:r>
    </w:p>
    <w:p>
      <w:pPr>
        <w:pStyle w:val="Heading2"/>
      </w:pPr>
      <w:r>
        <w:rPr>
          <w:b/>
          <w:color w:val="1B4F9E"/>
          <w:sz w:val="22"/>
        </w:rP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Affects existing tenants?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Remove dead permission keys (change_requests.*, trade_spend.manage)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Code only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584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Alias 'duplicate' permissions (stock/inventory, customer/customers, report.aggregate/reports)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Code only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YES — changes effective access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Medium–High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NO-GO (defer to Phase C)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Bind nav + page to the same flag (Trade Spend 404 fix)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Code only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Visual only (hides a broken link)</w:t>
            </w:r>
          </w:p>
        </w:tc>
        <w:tc>
          <w:tcPr>
            <w:tcW w:type="dxa" w:w="1152"/>
            <w:shd w:val="clear" w:color="auto" w:fill="FBF1DD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584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Document 5 archetypes (documentation only)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Docs only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584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Split feature-flag kinds in docs/registry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Docs only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584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</w:tr>
    </w:tbl>
    <w:p>
      <w:r>
        <w:rPr>
          <w:b/>
          <w:i w:val="0"/>
          <w:color w:val="1A1A1A"/>
          <w:sz w:val="20"/>
        </w:rPr>
        <w:t>Net: execute A1, A3, A4, A5. Hold A2. The Phase A goal (clean up with zero tenant impact) is best served by NOT doing A2 as an alias — doing so would silently widen access, the opposite of hygiene.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A1 — Remove dead permission keys</w:t>
      </w:r>
    </w:p>
    <w:p>
      <w:pPr>
        <w:pStyle w:val="Heading2"/>
      </w:pPr>
      <w:r>
        <w:rPr>
          <w:b/>
          <w:color w:val="1B4F9E"/>
          <w:sz w:val="22"/>
        </w:rPr>
        <w:t>1. Exact files that will change</w:t>
      </w:r>
    </w:p>
    <w:p>
      <w:r>
        <w:rPr>
          <w:rFonts w:ascii="Consolas" w:hAnsi="Consolas"/>
          <w:color w:val="333333"/>
          <w:sz w:val="17"/>
        </w:rPr>
        <w:t>src/lib/entitlements/registry.ts   (PERMISSION_MODULES map)</w:t>
      </w:r>
    </w:p>
    <w:p>
      <w:r>
        <w:rPr>
          <w:rFonts w:ascii="Consolas" w:hAnsi="Consolas"/>
          <w:color w:val="333333"/>
          <w:sz w:val="17"/>
        </w:rPr>
        <w:t>src/lib/entitlements/entitlements.test.ts   (assertions)</w:t>
      </w:r>
    </w:p>
    <w:p>
      <w:pPr>
        <w:pStyle w:val="Heading2"/>
      </w:pPr>
      <w:r>
        <w:rPr>
          <w:b/>
          <w:color w:val="1B4F9E"/>
          <w:sz w:val="22"/>
        </w:rPr>
        <w:t>2. Exact lines / modules affected</w:t>
      </w:r>
    </w:p>
    <w:p>
      <w:r>
        <w:rPr>
          <w:b w:val="0"/>
          <w:i/>
          <w:color w:val="1A1A1A"/>
          <w:sz w:val="18"/>
        </w:rPr>
        <w:t>The keys exist ONLY as entries in the entitlement permission→module map. They are NOT in the code Permission union (src/lib/erp/permissions.ts), are granted to NO role, and are checked by NO hasPermission() call. They are inert.</w:t>
      </w:r>
    </w:p>
    <w:p>
      <w:r>
        <w:rPr>
          <w:rFonts w:ascii="Consolas" w:hAnsi="Consolas"/>
          <w:color w:val="333333"/>
          <w:sz w:val="17"/>
        </w:rPr>
        <w:t>registry.ts:58  'change_requests.create': ['change_requests'],</w:t>
      </w:r>
    </w:p>
    <w:p>
      <w:r>
        <w:rPr>
          <w:rFonts w:ascii="Consolas" w:hAnsi="Consolas"/>
          <w:color w:val="333333"/>
          <w:sz w:val="17"/>
        </w:rPr>
        <w:t>registry.ts:59  'change_requests.approve': ['change_requests'],</w:t>
      </w:r>
    </w:p>
    <w:p>
      <w:r>
        <w:rPr>
          <w:rFonts w:ascii="Consolas" w:hAnsi="Consolas"/>
          <w:color w:val="333333"/>
          <w:sz w:val="17"/>
        </w:rPr>
        <w:t>registry.ts:60  'change_requests.manage': ['change_requests'],</w:t>
      </w:r>
    </w:p>
    <w:p>
      <w:r>
        <w:rPr>
          <w:rFonts w:ascii="Consolas" w:hAnsi="Consolas"/>
          <w:color w:val="333333"/>
          <w:sz w:val="17"/>
        </w:rPr>
        <w:t>registry.ts:65  'trade_spend.manage': ['trade_spend'],</w:t>
      </w:r>
    </w:p>
    <w:p>
      <w:r>
        <w:rPr>
          <w:rFonts w:ascii="Consolas" w:hAnsi="Consolas"/>
          <w:color w:val="333333"/>
          <w:sz w:val="17"/>
        </w:rPr>
        <w:t>entitlements.test.ts:66/68  modulesForPermission('change_requests.approve' / 'trade_spend.manage')</w:t>
      </w:r>
    </w:p>
    <w:p>
      <w:pPr>
        <w:pStyle w:val="Heading2"/>
      </w:pPr>
      <w:r>
        <w:rPr>
          <w:b/>
          <w:color w:val="1B4F9E"/>
          <w:sz w:val="22"/>
        </w:rPr>
        <w:t>3. Does it affect…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Affected?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tenants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No tenant role grants these keys; nothing resolves them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users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No user holds them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roles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Not present in any role definition in permissions.ts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permissions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Not in the Permission union; only inert map entries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business types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Unrelated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deployments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modulesForPermission() for these strings is never called in any live path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4. Change type</w:t>
      </w:r>
    </w:p>
    <w:p>
      <w:r>
        <w:rPr>
          <w:b/>
          <w:i w:val="0"/>
          <w:color w:val="1A1A1A"/>
          <w:sz w:val="20"/>
        </w:rPr>
        <w:t>Code only (registry map + its unit test). No DB change, no documentation dependency.</w:t>
      </w:r>
    </w:p>
    <w:p>
      <w:pPr>
        <w:pStyle w:val="Heading2"/>
      </w:pPr>
      <w:r>
        <w:rPr>
          <w:b/>
          <w:color w:val="1B4F9E"/>
          <w:sz w:val="22"/>
        </w:rPr>
        <w:t>5. Rollback plan</w:t>
      </w:r>
    </w:p>
    <w:p>
      <w:pPr>
        <w:pStyle w:val="ListBullet"/>
      </w:pPr>
      <w:r>
        <w:rPr>
          <w:b w:val="0"/>
          <w:color w:val="1A1A1A"/>
          <w:sz w:val="19"/>
        </w:rPr>
        <w:t>Re-add the four map lines and the two test assertions (a 6-line revert).</w:t>
      </w:r>
    </w:p>
    <w:p>
      <w:pPr>
        <w:pStyle w:val="ListBullet"/>
      </w:pPr>
      <w:r>
        <w:rPr>
          <w:b w:val="0"/>
          <w:color w:val="1A1A1A"/>
          <w:sz w:val="19"/>
        </w:rPr>
        <w:t>Fully covered by git revert of the single commit.</w:t>
      </w:r>
    </w:p>
    <w:p>
      <w:pPr>
        <w:pStyle w:val="ListBullet"/>
      </w:pPr>
      <w:r>
        <w:rPr>
          <w:b w:val="0"/>
          <w:color w:val="1A1A1A"/>
          <w:sz w:val="19"/>
        </w:rPr>
        <w:t>No data to restore — nothing was ever stored against these keys.</w:t>
      </w:r>
    </w:p>
    <w:p>
      <w:pPr>
        <w:pStyle w:val="Heading2"/>
      </w:pPr>
      <w:r>
        <w:rPr>
          <w:b/>
          <w:color w:val="1B4F9E"/>
          <w:sz w:val="22"/>
        </w:rPr>
        <w:t>6.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5F2E9"/>
          </w:tcPr>
          <w:p>
            <w:r/>
            <w:r>
              <w:rPr>
                <w:b/>
                <w:color w:val="1F2A44"/>
                <w:sz w:val="24"/>
              </w:rPr>
              <w:t xml:space="preserve">  Zero Risk  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B7F3B"/>
          </w:tcPr>
          <w:p>
            <w:r/>
            <w:r>
              <w:rPr>
                <w:b/>
                <w:color w:val="FFFFFF"/>
                <w:sz w:val="26"/>
              </w:rPr>
              <w:t xml:space="preserve">  GO  </w:t>
            </w:r>
          </w:p>
        </w:tc>
      </w:tr>
    </w:tbl>
    <w:p>
      <w:r>
        <w:rPr>
          <w:b w:val="0"/>
          <w:i w:val="0"/>
          <w:color w:val="1A1A1A"/>
          <w:sz w:val="20"/>
        </w:rPr>
        <w:t>Safe to execute. The keys enforce nothing; removing them only tidies the entitlement map and its test. Recommend pairing with a one-line note in the governance baseline that these engine permissions are typed-and-enforced when their engine ships (Phase C), not via this inert map.</w:t>
      </w:r>
    </w:p>
    <w:p>
      <w:r>
        <w:rPr>
          <w:b w:val="0"/>
          <w:i/>
          <w:color w:val="B46A00"/>
          <w:sz w:val="20"/>
        </w:rPr>
        <w:t>Caution: do NOT also delete any erp_change_request_definition rows or DB seeds in Phase A — this item is limited to the inert code map. DB cleanup (if any) is Phase C.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A2 — Alias 'duplicate' permissions  —  NOT a duplicate set</w:t>
      </w:r>
    </w:p>
    <w:p>
      <w:pPr>
        <w:pStyle w:val="Heading2"/>
      </w:pPr>
      <w:r>
        <w:rPr>
          <w:b/>
          <w:color w:val="1B4F9E"/>
          <w:sz w:val="22"/>
        </w:rPr>
        <w:t>1. Exact files that will change</w:t>
      </w:r>
    </w:p>
    <w:p>
      <w:r>
        <w:rPr>
          <w:rFonts w:ascii="Consolas" w:hAnsi="Consolas"/>
          <w:color w:val="333333"/>
          <w:sz w:val="17"/>
        </w:rPr>
        <w:t>src/lib/erp/permissions.ts   (Permission union + role grants)</w:t>
      </w:r>
    </w:p>
    <w:p>
      <w:r>
        <w:rPr>
          <w:rFonts w:ascii="Consolas" w:hAnsi="Consolas"/>
          <w:color w:val="333333"/>
          <w:sz w:val="17"/>
        </w:rPr>
        <w:t>src/app/(app)/fmcg/actions.ts, src/app/(app)/field/**, src/lib/erp/fmcg-action-gate.ts (enforcement sites)</w:t>
      </w:r>
    </w:p>
    <w:p>
      <w:pPr>
        <w:pStyle w:val="Heading2"/>
      </w:pPr>
      <w:r>
        <w:rPr>
          <w:b/>
          <w:color w:val="1B4F9E"/>
          <w:sz w:val="22"/>
        </w:rPr>
        <w:t>2. Exact lines / modules affected</w:t>
      </w:r>
    </w:p>
    <w:p>
      <w:r>
        <w:rPr>
          <w:b w:val="0"/>
          <w:i/>
          <w:color w:val="1A1A1A"/>
          <w:sz w:val="18"/>
        </w:rPr>
        <w:t>EVIDENCE CONTRADICTS THE PREMISE. These are not synonyms — they are distinct, separately-enforced permissions with different semantics, assigned to different roles:</w:t>
      </w:r>
    </w:p>
    <w:p>
      <w:r>
        <w:rPr>
          <w:rFonts w:ascii="Consolas" w:hAnsi="Consolas"/>
          <w:color w:val="333333"/>
          <w:sz w:val="17"/>
        </w:rPr>
        <w:t>permissions.ts:13-16  inventory.view/adjust/transfer/count   = WAREHOUSE stock management</w:t>
      </w:r>
    </w:p>
    <w:p>
      <w:r>
        <w:rPr>
          <w:rFonts w:ascii="Consolas" w:hAnsi="Consolas"/>
          <w:color w:val="333333"/>
          <w:sz w:val="17"/>
        </w:rPr>
        <w:t>permissions.ts:51-54  stock.view/adjust/transfer.approve     = VAN/field stock (FMCG S5) — different operations</w:t>
      </w:r>
    </w:p>
    <w:p>
      <w:r>
        <w:rPr>
          <w:rFonts w:ascii="Consolas" w:hAnsi="Consolas"/>
          <w:color w:val="333333"/>
          <w:sz w:val="17"/>
        </w:rPr>
        <w:t>field/actions.ts:314  hasPermission(ctx,'stock.transfer')    (van) — NOT inventory.transfer</w:t>
      </w:r>
    </w:p>
    <w:p>
      <w:r>
        <w:rPr>
          <w:rFonts w:ascii="Consolas" w:hAnsi="Consolas"/>
          <w:color w:val="333333"/>
          <w:sz w:val="17"/>
        </w:rPr>
        <w:t>field/van-sales/warehouse/page.tsx:21  hasPermission(ctx,'stock.adjust')  gates the VAN warehouse</w:t>
      </w:r>
    </w:p>
    <w:p>
      <w:r>
        <w:rPr>
          <w:rFonts w:ascii="Consolas" w:hAnsi="Consolas"/>
          <w:color w:val="333333"/>
          <w:sz w:val="17"/>
        </w:rPr>
        <w:t>permissions.ts:10-12 customers.manage/approve/change_status  = management;  :45-48 customer.create/edit/import/transfer = field onboarding</w:t>
      </w:r>
    </w:p>
    <w:p>
      <w:r>
        <w:rPr>
          <w:rFonts w:ascii="Consolas" w:hAnsi="Consolas"/>
          <w:color w:val="333333"/>
          <w:sz w:val="17"/>
        </w:rPr>
        <w:t>fmcg/actions.ts:418  reports.view OR report.aggregate.view (deliberate pair)</w:t>
      </w:r>
    </w:p>
    <w:p>
      <w:r>
        <w:rPr>
          <w:rFonts w:ascii="Consolas" w:hAnsi="Consolas"/>
          <w:color w:val="333333"/>
          <w:sz w:val="17"/>
        </w:rPr>
        <w:t>fmcg/actions.ts:546  report.aggregate.view ONLY — a narrower 'scale-safe' boundary (intentional)</w:t>
      </w:r>
    </w:p>
    <w:p>
      <w:pPr>
        <w:pStyle w:val="Heading2"/>
      </w:pPr>
      <w:r>
        <w:rPr>
          <w:b/>
          <w:color w:val="1B4F9E"/>
          <w:sz w:val="22"/>
        </w:rPr>
        <w:t>3. Does it affect…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Affected?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tenants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Every tenant using FMCG/field roles relies on the stock.* vs inventory.* split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users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A user with inventory.view would suddenly pass stock.adjust (van) checks, and vice-versa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roles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warehouse_keeper, salesman, supervisor hold these as DISTINCT grants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permissions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Collapses 3 intentional families; erases the report.aggregate scale-safe boundary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business types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Indirect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FMCG/distribution depend on the field-vs-warehouse separation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deployments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Authorization behaviour changes on next deploy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4. Change type</w:t>
      </w:r>
    </w:p>
    <w:p>
      <w:r>
        <w:rPr>
          <w:b/>
          <w:i w:val="0"/>
          <w:color w:val="1A1A1A"/>
          <w:sz w:val="20"/>
        </w:rPr>
        <w:t>Code only — but it is an authorization (access-control) change, the highest-sensitivity kind of code change.</w:t>
      </w:r>
    </w:p>
    <w:p>
      <w:pPr>
        <w:pStyle w:val="Heading2"/>
      </w:pPr>
      <w:r>
        <w:rPr>
          <w:b/>
          <w:color w:val="1B4F9E"/>
          <w:sz w:val="22"/>
        </w:rPr>
        <w:t>5. Rollback plan</w:t>
      </w:r>
    </w:p>
    <w:p>
      <w:pPr>
        <w:pStyle w:val="ListBullet"/>
      </w:pPr>
      <w:r>
        <w:rPr>
          <w:b w:val="0"/>
          <w:color w:val="1A1A1A"/>
          <w:sz w:val="19"/>
        </w:rPr>
        <w:t>No clean rollback once roles act under merged semantics: removing the alias would re-split access and could strand users who relied on the widened grant.</w:t>
      </w:r>
    </w:p>
    <w:p>
      <w:pPr>
        <w:pStyle w:val="ListBullet"/>
      </w:pPr>
      <w:r>
        <w:rPr>
          <w:b w:val="0"/>
          <w:color w:val="1A1A1A"/>
          <w:sz w:val="19"/>
        </w:rPr>
        <w:t>Would require a full role-permission regression suite + per-tenant access snapshot BEFORE and AFTER — i.e. Phase C rigour.</w:t>
      </w:r>
    </w:p>
    <w:p>
      <w:pPr>
        <w:pStyle w:val="ListBullet"/>
      </w:pPr>
      <w:r>
        <w:rPr>
          <w:b w:val="0"/>
          <w:color w:val="1A1A1A"/>
          <w:sz w:val="19"/>
        </w:rPr>
        <w:t>Because it changes effective access, 'reversible' cannot be guaranteed without a migration plan.</w:t>
      </w:r>
    </w:p>
    <w:p>
      <w:pPr>
        <w:pStyle w:val="Heading2"/>
      </w:pPr>
      <w:r>
        <w:rPr>
          <w:b/>
          <w:color w:val="1B4F9E"/>
          <w:sz w:val="22"/>
        </w:rPr>
        <w:t>6.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E3E3"/>
          </w:tcPr>
          <w:p>
            <w:r/>
            <w:r>
              <w:rPr>
                <w:b/>
                <w:color w:val="1F2A44"/>
                <w:sz w:val="24"/>
              </w:rPr>
              <w:t xml:space="preserve">  Medium–High Risk  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B31B1B"/>
          </w:tcPr>
          <w:p>
            <w:r/>
            <w:r>
              <w:rPr>
                <w:b/>
                <w:color w:val="FFFFFF"/>
                <w:sz w:val="26"/>
              </w:rPr>
              <w:t xml:space="preserve">  NO-GO  (keep roadmap-only → Phase C)  </w:t>
            </w:r>
          </w:p>
        </w:tc>
      </w:tr>
    </w:tbl>
    <w:p>
      <w:r>
        <w:rPr>
          <w:b w:val="0"/>
          <w:i w:val="0"/>
          <w:color w:val="1A1A1A"/>
          <w:sz w:val="20"/>
        </w:rPr>
        <w:t>The handbook labelled these 'duplicate families', but the code proves they are intentionally distinct, actively-enforced permissions. Aliasing them is NOT zero-impact hygiene — it silently WIDENS access (e.g. warehouse↔van, management↔field onboarding) and erases the deliberate report.aggregate.view scale-safe boundary. That is a structural permission redesign requiring real usage data and a migration plan. It belongs in Phase C, after the first paying customer.</w:t>
      </w:r>
    </w:p>
    <w:p>
      <w:r>
        <w:rPr>
          <w:b w:val="0"/>
          <w:i/>
          <w:color w:val="B46A00"/>
          <w:sz w:val="20"/>
        </w:rPr>
        <w:t>This is exactly why the business-impact review was worth doing before touching code: A2 looked like the flagship 'safe dedup' but is the one item that would change tenant behaviour. Recommend updating the Roadmap/Handbook to reclassify permission consolidation from Phase A to Phase C, with explicit per-family analysis.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A3 — Bind nav + page to the same capability flag (Trade Spend 404 fix)</w:t>
      </w:r>
    </w:p>
    <w:p>
      <w:pPr>
        <w:pStyle w:val="Heading2"/>
      </w:pPr>
      <w:r>
        <w:rPr>
          <w:b/>
          <w:color w:val="1B4F9E"/>
          <w:sz w:val="22"/>
        </w:rPr>
        <w:t>1. Exact files that will change</w:t>
      </w:r>
    </w:p>
    <w:p>
      <w:r>
        <w:rPr>
          <w:rFonts w:ascii="Consolas" w:hAnsi="Consolas"/>
          <w:color w:val="333333"/>
          <w:sz w:val="17"/>
        </w:rPr>
        <w:t>src/lib/erp/navigation.ts   (nav item gate)</w:t>
      </w:r>
    </w:p>
    <w:p>
      <w:r>
        <w:rPr>
          <w:rFonts w:ascii="Consolas" w:hAnsi="Consolas"/>
          <w:color w:val="333333"/>
          <w:sz w:val="17"/>
        </w:rPr>
        <w:t>src/app/(app)/distribution/trade-spend/page.tsx   (page gate) — reference only</w:t>
      </w:r>
    </w:p>
    <w:p>
      <w:r>
        <w:rPr>
          <w:rFonts w:ascii="Consolas" w:hAnsi="Consolas"/>
          <w:color w:val="333333"/>
          <w:sz w:val="17"/>
        </w:rPr>
        <w:t>src/lib/trade-spend/flags.ts   (TRADE_SPEND_ENABLED) — reference only</w:t>
      </w:r>
    </w:p>
    <w:p>
      <w:pPr>
        <w:pStyle w:val="Heading2"/>
      </w:pPr>
      <w:r>
        <w:rPr>
          <w:b/>
          <w:color w:val="1B4F9E"/>
          <w:sz w:val="22"/>
        </w:rPr>
        <w:t>2. Exact lines / modules affected</w:t>
      </w:r>
    </w:p>
    <w:p>
      <w:r>
        <w:rPr>
          <w:b w:val="0"/>
          <w:i/>
          <w:color w:val="1A1A1A"/>
          <w:sz w:val="18"/>
        </w:rPr>
        <w:t>The mismatch is exact and visible in code: the nav item is gated by module+perm but NOT by the env flag the page requires, so the link shows and the page 404s.</w:t>
      </w:r>
    </w:p>
    <w:p>
      <w:r>
        <w:rPr>
          <w:rFonts w:ascii="Consolas" w:hAnsi="Consolas"/>
          <w:color w:val="333333"/>
          <w:sz w:val="17"/>
        </w:rPr>
        <w:t>navigation.ts:390  { href:'/distribution/trade-spend', perm:'reports.view', module:['distribution','trade_spend'] }</w:t>
      </w:r>
    </w:p>
    <w:p>
      <w:r>
        <w:rPr>
          <w:rFonts w:ascii="Consolas" w:hAnsi="Consolas"/>
          <w:color w:val="333333"/>
          <w:sz w:val="17"/>
        </w:rPr>
        <w:t>trade-spend/page.tsx:22  if (!TRADE_SPEND_ENABLED()) notFound();</w:t>
      </w:r>
    </w:p>
    <w:p>
      <w:r>
        <w:rPr>
          <w:rFonts w:ascii="Consolas" w:hAnsi="Consolas"/>
          <w:color w:val="333333"/>
          <w:sz w:val="17"/>
        </w:rPr>
        <w:t>flags.ts:6  TRADE_SPEND_ENABLED = () =&gt; on(process.env.KAKO_TRADE_SPEND)</w:t>
      </w:r>
    </w:p>
    <w:p>
      <w:r>
        <w:rPr>
          <w:rFonts w:ascii="Consolas" w:hAnsi="Consolas"/>
          <w:color w:val="333333"/>
          <w:sz w:val="17"/>
        </w:rPr>
        <w:t>Fix: make the nav item's visibility also require the same TRADE_SPEND_ENABLED()/flag signal (and apply the same pattern to other engine routes whose page has an independent flag gate).</w:t>
      </w:r>
    </w:p>
    <w:p>
      <w:pPr>
        <w:pStyle w:val="Heading2"/>
      </w:pPr>
      <w:r>
        <w:rPr>
          <w:b/>
          <w:color w:val="1B4F9E"/>
          <w:sz w:val="22"/>
        </w:rPr>
        <w:t>3. Does it affect…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Affected?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tenants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Visual only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A link that currently 404s becomes hidden when its flag is off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users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Visual only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Fewer dead links; no change to what they can actually 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roles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Permission gates unchanged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permissions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No permission added/removed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business types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Module gating unchanged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deployments</w:t>
            </w:r>
          </w:p>
        </w:tc>
        <w:tc>
          <w:tcPr>
            <w:tcW w:type="dxa" w:w="1152"/>
            <w:shd w:val="clear" w:color="auto" w:fill="F8E3E3"/>
          </w:tcPr>
          <w:p>
            <w:r/>
            <w:r>
              <w:rPr>
                <w:sz w:val="16"/>
              </w:rPr>
              <w:t>YES (intended)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Where KAKO_TRADE_SPEND is off, the link disappears instead of 404-ing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4. Change type</w:t>
      </w:r>
    </w:p>
    <w:p>
      <w:r>
        <w:rPr>
          <w:b/>
          <w:i w:val="0"/>
          <w:color w:val="1A1A1A"/>
          <w:sz w:val="20"/>
        </w:rPr>
        <w:t>Code only (navigation gating). No DB, no docs dependency. Strictly-better behaviour (never exposes anything new).</w:t>
      </w:r>
    </w:p>
    <w:p>
      <w:pPr>
        <w:pStyle w:val="Heading2"/>
      </w:pPr>
      <w:r>
        <w:rPr>
          <w:b/>
          <w:color w:val="1B4F9E"/>
          <w:sz w:val="22"/>
        </w:rPr>
        <w:t>5. Rollback plan</w:t>
      </w:r>
    </w:p>
    <w:p>
      <w:pPr>
        <w:pStyle w:val="ListBullet"/>
      </w:pPr>
      <w:r>
        <w:rPr>
          <w:b w:val="0"/>
          <w:color w:val="1A1A1A"/>
          <w:sz w:val="19"/>
        </w:rPr>
        <w:t>Revert the navigation.ts gate change (single commit) to restore prior link visibility.</w:t>
      </w:r>
    </w:p>
    <w:p>
      <w:pPr>
        <w:pStyle w:val="ListBullet"/>
      </w:pPr>
      <w:r>
        <w:rPr>
          <w:b w:val="0"/>
          <w:color w:val="1A1A1A"/>
          <w:sz w:val="19"/>
        </w:rPr>
        <w:t>No data involved; instant rollback.</w:t>
      </w:r>
    </w:p>
    <w:p>
      <w:pPr>
        <w:pStyle w:val="ListBullet"/>
      </w:pPr>
      <w:r>
        <w:rPr>
          <w:b w:val="0"/>
          <w:color w:val="1A1A1A"/>
          <w:sz w:val="19"/>
        </w:rPr>
        <w:t>Behaviour is monotonic — the fix can only hide a would-be-404 link, so rollback risk is nil.</w:t>
      </w:r>
    </w:p>
    <w:p>
      <w:pPr>
        <w:pStyle w:val="Heading2"/>
      </w:pPr>
      <w:r>
        <w:rPr>
          <w:b/>
          <w:color w:val="1B4F9E"/>
          <w:sz w:val="22"/>
        </w:rPr>
        <w:t>6.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5F2E9"/>
          </w:tcPr>
          <w:p>
            <w:r/>
            <w:r>
              <w:rPr>
                <w:b/>
                <w:color w:val="1F2A44"/>
                <w:sz w:val="24"/>
              </w:rPr>
              <w:t xml:space="preserve">  Low Risk  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B7F3B"/>
          </w:tcPr>
          <w:p>
            <w:r/>
            <w:r>
              <w:rPr>
                <w:b/>
                <w:color w:val="FFFFFF"/>
                <w:sz w:val="26"/>
              </w:rPr>
              <w:t xml:space="preserve">  GO  </w:t>
            </w:r>
          </w:p>
        </w:tc>
      </w:tr>
    </w:tbl>
    <w:p>
      <w:r>
        <w:rPr>
          <w:b w:val="0"/>
          <w:i w:val="0"/>
          <w:color w:val="1A1A1A"/>
          <w:sz w:val="20"/>
        </w:rPr>
        <w:t>This is a genuine bug fix and falls squarely inside the approved freeze categories (Bug / Deployment). It removes the show-then-404 confusion the pilot already hit on Trade Spend. The only visible effect is that a broken link is hidden when its engine flag is off. Recommend shipping it as the single highest-value Phase A item.</w:t>
      </w:r>
    </w:p>
    <w:p>
      <w:r>
        <w:rPr>
          <w:b w:val="0"/>
          <w:i/>
          <w:color w:val="B46A00"/>
          <w:sz w:val="20"/>
        </w:rPr>
        <w:t>Scope discipline: in Phase A, bind only the nav gate to the existing flag. Do NOT introduce the new capability-flag abstraction here — that design lands with A5's documentation and any refactor is deferred.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A4 — Document the 5 archetypes (documentation only)</w:t>
      </w:r>
    </w:p>
    <w:p>
      <w:pPr>
        <w:pStyle w:val="Heading2"/>
      </w:pPr>
      <w:r>
        <w:rPr>
          <w:b/>
          <w:color w:val="1B4F9E"/>
          <w:sz w:val="22"/>
        </w:rPr>
        <w:t>1. Exact files that will change</w:t>
      </w:r>
    </w:p>
    <w:p>
      <w:r>
        <w:rPr>
          <w:rFonts w:ascii="Consolas" w:hAnsi="Consolas"/>
          <w:color w:val="333333"/>
          <w:sz w:val="17"/>
        </w:rPr>
        <w:t>docs/audits/ (governance baseline) — documentation</w:t>
      </w:r>
    </w:p>
    <w:p>
      <w:r>
        <w:rPr>
          <w:rFonts w:ascii="Consolas" w:hAnsi="Consolas"/>
          <w:color w:val="333333"/>
          <w:sz w:val="17"/>
        </w:rPr>
        <w:t>src/lib/erp/setup-wizard.ts, src/app/setup/* — REFERENCE ONLY (not edited in Phase A)</w:t>
      </w:r>
    </w:p>
    <w:p>
      <w:pPr>
        <w:pStyle w:val="Heading2"/>
      </w:pPr>
      <w:r>
        <w:rPr>
          <w:b/>
          <w:color w:val="1B4F9E"/>
          <w:sz w:val="22"/>
        </w:rPr>
        <w:t>2. Exact lines / modules affected</w:t>
      </w:r>
    </w:p>
    <w:p>
      <w:r>
        <w:rPr>
          <w:b w:val="0"/>
          <w:i/>
          <w:color w:val="1A1A1A"/>
          <w:sz w:val="18"/>
        </w:rPr>
        <w:t>Phase A is limited to WRITING the 5-archetype model and the business_type→archetype map into the governance baseline. The onboarding-picker curation (a UX/code change) is explicitly DEFERRED so this item stays documentation-only.</w:t>
      </w:r>
    </w:p>
    <w:p>
      <w:r>
        <w:rPr>
          <w:rFonts w:ascii="Consolas" w:hAnsi="Consolas"/>
          <w:color w:val="333333"/>
          <w:sz w:val="17"/>
        </w:rPr>
        <w:t>No source line changes. Documentation table maps each of the 21 existing business types to one of 5 archetypes.</w:t>
      </w:r>
    </w:p>
    <w:p>
      <w:r>
        <w:rPr>
          <w:rFonts w:ascii="Consolas" w:hAnsi="Consolas"/>
          <w:color w:val="333333"/>
          <w:sz w:val="17"/>
        </w:rPr>
        <w:t>setup-wizard.ts / setup/page.tsx are referenced as the FUTURE (Phase B) place to curate the picker — not touched now.</w:t>
      </w:r>
    </w:p>
    <w:p>
      <w:pPr>
        <w:pStyle w:val="Heading2"/>
      </w:pPr>
      <w:r>
        <w:rPr>
          <w:b/>
          <w:color w:val="1B4F9E"/>
          <w:sz w:val="22"/>
        </w:rPr>
        <w:t>3. Does it affect…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Affected?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tenants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No business_type value changes; pure documentation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users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roles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permissions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business types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All 21 remain exactly as defined; only documented as archetypes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deployments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No code/runtime change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4. Change type</w:t>
      </w:r>
    </w:p>
    <w:p>
      <w:r>
        <w:rPr>
          <w:b/>
          <w:i w:val="0"/>
          <w:color w:val="1A1A1A"/>
          <w:sz w:val="20"/>
        </w:rPr>
        <w:t>Documentation only (governance baseline). No code, no DB.</w:t>
      </w:r>
    </w:p>
    <w:p>
      <w:pPr>
        <w:pStyle w:val="Heading2"/>
      </w:pPr>
      <w:r>
        <w:rPr>
          <w:b/>
          <w:color w:val="1B4F9E"/>
          <w:sz w:val="22"/>
        </w:rPr>
        <w:t>5. Rollback plan</w:t>
      </w:r>
    </w:p>
    <w:p>
      <w:pPr>
        <w:pStyle w:val="ListBullet"/>
      </w:pPr>
      <w:r>
        <w:rPr>
          <w:b w:val="0"/>
          <w:color w:val="1A1A1A"/>
          <w:sz w:val="19"/>
        </w:rPr>
        <w:t>Revert the documentation edit. Nothing runtime to roll back.</w:t>
      </w:r>
    </w:p>
    <w:p>
      <w:pPr>
        <w:pStyle w:val="ListBullet"/>
      </w:pPr>
      <w:r>
        <w:rPr>
          <w:b w:val="0"/>
          <w:color w:val="1A1A1A"/>
          <w:sz w:val="19"/>
        </w:rPr>
        <w:t>Zero data impact.</w:t>
      </w:r>
    </w:p>
    <w:p>
      <w:pPr>
        <w:pStyle w:val="Heading2"/>
      </w:pPr>
      <w:r>
        <w:rPr>
          <w:b/>
          <w:color w:val="1B4F9E"/>
          <w:sz w:val="22"/>
        </w:rPr>
        <w:t>6.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5F2E9"/>
          </w:tcPr>
          <w:p>
            <w:r/>
            <w:r>
              <w:rPr>
                <w:b/>
                <w:color w:val="1F2A44"/>
                <w:sz w:val="24"/>
              </w:rPr>
              <w:t xml:space="preserve">  Zero Risk  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B7F3B"/>
          </w:tcPr>
          <w:p>
            <w:r/>
            <w:r>
              <w:rPr>
                <w:b/>
                <w:color w:val="FFFFFF"/>
                <w:sz w:val="26"/>
              </w:rPr>
              <w:t xml:space="preserve">  GO  (documentation only)  </w:t>
            </w:r>
          </w:p>
        </w:tc>
      </w:tr>
    </w:tbl>
    <w:p>
      <w:r>
        <w:rPr>
          <w:b w:val="0"/>
          <w:i w:val="0"/>
          <w:color w:val="1A1A1A"/>
          <w:sz w:val="20"/>
        </w:rPr>
        <w:t>Safe. Keep A4 strictly to documentation in Phase A. The picker-curation sub-task (touching setup-wizard.ts) is a Phase B new-tenant-only change and must NOT be done now, to preserve the zero-impact guarantee.</w:t>
      </w:r>
    </w:p>
    <w:p>
      <w:r>
        <w:rPr>
          <w:b w:val="0"/>
          <w:i/>
          <w:color w:val="B46A00"/>
          <w:sz w:val="20"/>
        </w:rPr>
        <w:t>If the picker curation is wanted sooner, treat it as a separate, explicitly-scoped Low-Risk Phase B item — not folded into this documentation task.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A5 — Split feature-flag kinds in docs/registry (documentation only)</w:t>
      </w:r>
    </w:p>
    <w:p>
      <w:pPr>
        <w:pStyle w:val="Heading2"/>
      </w:pPr>
      <w:r>
        <w:rPr>
          <w:b/>
          <w:color w:val="1B4F9E"/>
          <w:sz w:val="22"/>
        </w:rPr>
        <w:t>1. Exact files that will change</w:t>
      </w:r>
    </w:p>
    <w:p>
      <w:r>
        <w:rPr>
          <w:rFonts w:ascii="Consolas" w:hAnsi="Consolas"/>
          <w:color w:val="333333"/>
          <w:sz w:val="17"/>
        </w:rPr>
        <w:t>docs/audits/ (governance baseline) — documentation</w:t>
      </w:r>
    </w:p>
    <w:p>
      <w:r>
        <w:rPr>
          <w:rFonts w:ascii="Consolas" w:hAnsi="Consolas"/>
          <w:color w:val="333333"/>
          <w:sz w:val="17"/>
        </w:rPr>
        <w:t>src/lib/erp/feature-catalog.ts, src/lib/**/flags.ts — REFERENCE ONLY (classified, not edited)</w:t>
      </w:r>
    </w:p>
    <w:p>
      <w:pPr>
        <w:pStyle w:val="Heading2"/>
      </w:pPr>
      <w:r>
        <w:rPr>
          <w:b/>
          <w:color w:val="1B4F9E"/>
          <w:sz w:val="22"/>
        </w:rPr>
        <w:t>2. Exact lines / modules affected</w:t>
      </w:r>
    </w:p>
    <w:p>
      <w:r>
        <w:rPr>
          <w:b w:val="0"/>
          <w:i/>
          <w:color w:val="1A1A1A"/>
          <w:sz w:val="18"/>
        </w:rPr>
        <w:t>Phase A classifies the two flag kinds in documentation: tenant CAPABILITY flags (feature-catalog; Lite/Standard/Enterprise) vs platform KILL-SWITCHES (~38 env KAKO_* flags). No flag value or evaluation path changes.</w:t>
      </w:r>
    </w:p>
    <w:p>
      <w:r>
        <w:rPr>
          <w:rFonts w:ascii="Consolas" w:hAnsi="Consolas"/>
          <w:color w:val="333333"/>
          <w:sz w:val="17"/>
        </w:rPr>
        <w:t>~38 distinct KAKO_* kill-switches exist (e.g. KAKO_TRADE_SPEND, KAKO_ALERTS, KAKO_CHANGE_REQUESTS, KAKO_EINVOICE …).</w:t>
      </w:r>
    </w:p>
    <w:p>
      <w:r>
        <w:rPr>
          <w:rFonts w:ascii="Consolas" w:hAnsi="Consolas"/>
          <w:color w:val="333333"/>
          <w:sz w:val="17"/>
        </w:rPr>
        <w:t>feature-catalog.ts provides the tenant capability system (the Pharmacy Lite/Standard/Enterprise templates).</w:t>
      </w:r>
    </w:p>
    <w:p>
      <w:r>
        <w:rPr>
          <w:rFonts w:ascii="Consolas" w:hAnsi="Consolas"/>
          <w:color w:val="333333"/>
          <w:sz w:val="17"/>
        </w:rPr>
        <w:t>Deliverable = a documentation table labelling each flag Capability or Kill-switch + the governance rule.</w:t>
      </w:r>
    </w:p>
    <w:p>
      <w:pPr>
        <w:pStyle w:val="Heading2"/>
      </w:pPr>
      <w:r>
        <w:rPr>
          <w:b/>
          <w:color w:val="1B4F9E"/>
          <w:sz w:val="22"/>
        </w:rPr>
        <w:t>3. Does it affect…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Affected?</w:t>
            </w:r>
          </w:p>
        </w:tc>
        <w:tc>
          <w:tcPr>
            <w:tcW w:type="dxa" w:w="61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tenants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Classification/documentation only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users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roles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permissions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Existing business types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Unaffected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Existing deployments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6192"/>
            <w:shd w:val="clear" w:color="auto" w:fill="F2F4F8"/>
          </w:tcPr>
          <w:p>
            <w:r/>
            <w:r>
              <w:rPr>
                <w:sz w:val="16"/>
              </w:rPr>
              <w:t>No flag value or evaluation logic changes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4. Change type</w:t>
      </w:r>
    </w:p>
    <w:p>
      <w:r>
        <w:rPr>
          <w:b/>
          <w:i w:val="0"/>
          <w:color w:val="1A1A1A"/>
          <w:sz w:val="20"/>
        </w:rPr>
        <w:t>Documentation only (optionally a non-functional code COMMENT in registry). No behaviour change.</w:t>
      </w:r>
    </w:p>
    <w:p>
      <w:pPr>
        <w:pStyle w:val="Heading2"/>
      </w:pPr>
      <w:r>
        <w:rPr>
          <w:b/>
          <w:color w:val="1B4F9E"/>
          <w:sz w:val="22"/>
        </w:rPr>
        <w:t>5. Rollback plan</w:t>
      </w:r>
    </w:p>
    <w:p>
      <w:pPr>
        <w:pStyle w:val="ListBullet"/>
      </w:pPr>
      <w:r>
        <w:rPr>
          <w:b w:val="0"/>
          <w:color w:val="1A1A1A"/>
          <w:sz w:val="19"/>
        </w:rPr>
        <w:t>Revert the documentation edit. Nothing runtime to roll back.</w:t>
      </w:r>
    </w:p>
    <w:p>
      <w:pPr>
        <w:pStyle w:val="ListBullet"/>
      </w:pPr>
      <w:r>
        <w:rPr>
          <w:b w:val="0"/>
          <w:color w:val="1A1A1A"/>
          <w:sz w:val="19"/>
        </w:rPr>
        <w:t>Zero data impact.</w:t>
      </w:r>
    </w:p>
    <w:p>
      <w:pPr>
        <w:pStyle w:val="Heading2"/>
      </w:pPr>
      <w:r>
        <w:rPr>
          <w:b/>
          <w:color w:val="1B4F9E"/>
          <w:sz w:val="22"/>
        </w:rPr>
        <w:t>6. Risk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5F2E9"/>
          </w:tcPr>
          <w:p>
            <w:r/>
            <w:r>
              <w:rPr>
                <w:b/>
                <w:color w:val="1F2A44"/>
                <w:sz w:val="24"/>
              </w:rPr>
              <w:t xml:space="preserve">  Zero Risk  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B7F3B"/>
          </w:tcPr>
          <w:p>
            <w:r/>
            <w:r>
              <w:rPr>
                <w:b/>
                <w:color w:val="FFFFFF"/>
                <w:sz w:val="26"/>
              </w:rPr>
              <w:t xml:space="preserve">  GO  (documentation only)  </w:t>
            </w:r>
          </w:p>
        </w:tc>
      </w:tr>
    </w:tbl>
    <w:p>
      <w:r>
        <w:rPr>
          <w:b w:val="0"/>
          <w:i w:val="0"/>
          <w:color w:val="1A1A1A"/>
          <w:sz w:val="20"/>
        </w:rPr>
        <w:t>Safe. This is the policy half of the A3 fix: it writes down the rule (tenant gating uses capability flags; unfinished engines use kill-switches) so the show-then-404 class of bug is prevented going forward. Keep it documentation-only in Phase A; any registry refactor is Phase 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Final Go / No-Go — consolidated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One-line reason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Inert keys; removal changes nothing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NO-GO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Med–High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'Duplicates' are distinct enforced permissions — aliasing widens access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Real bug fix; only hides a would-be-404 link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Docs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Archetype documentation only; no tenant touched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GO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Zero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Docs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Flag-kind classification only; no behaviour change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action</w:t>
      </w:r>
    </w:p>
    <w:p>
      <w:pPr>
        <w:pStyle w:val="ListBullet"/>
      </w:pPr>
      <w:r>
        <w:rPr>
          <w:b/>
          <w:color w:val="1A1A1A"/>
          <w:sz w:val="19"/>
        </w:rPr>
        <w:t>EXECUTE: A1, A3, A4, A5 — all Zero/Low risk, none affect existing tenant access. Suggested order: A4, A5 (docs), A3 (bug fix), A1 (inert cleanup).</w:t>
      </w:r>
    </w:p>
    <w:p>
      <w:pPr>
        <w:pStyle w:val="ListBullet"/>
      </w:pPr>
      <w:r>
        <w:rPr>
          <w:b/>
          <w:color w:val="B31B1B"/>
          <w:sz w:val="19"/>
        </w:rPr>
        <w:t>HOLD: A2 — reclassify permission consolidation to Phase C (after first paying customer + usage data), with per-family analysis and a migration plan. Update the Roadmap/Handbook to reflect that A2 is NOT zero-impact.</w:t>
      </w:r>
    </w:p>
    <w:p>
      <w:pPr>
        <w:pStyle w:val="ListBullet"/>
      </w:pPr>
      <w:r>
        <w:rPr>
          <w:b w:val="0"/>
          <w:color w:val="1A1A1A"/>
          <w:sz w:val="19"/>
        </w:rPr>
        <w:t>UNCHANGED: no role merged, no business type merged, no permission reduced, no tenant migrated. The four GO items are additive/documentation/visual-only.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Bottom line: 4 of 5 Phase A items are cleared for execution with zero tenant-access impact; A2 is correctly caught as a structural change in disguise and held for Phase C. This is the decision — implementation still awaits your explicit go-ahead, item by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