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864"/>
          <w:sz w:val="56"/>
        </w:rPr>
        <w:t>VANTORA</w:t>
      </w:r>
    </w:p>
    <w:p>
      <w:r>
        <w:rPr>
          <w:b/>
          <w:color w:val="555555"/>
          <w:sz w:val="28"/>
        </w:rPr>
        <w:t>Platform Owner Console — Executive UX Audit &amp; Competitive Benchmark</w:t>
      </w:r>
    </w:p>
    <w:p>
      <w:r>
        <w:rPr>
          <w:i/>
          <w:color w:val="555555"/>
          <w:sz w:val="19"/>
        </w:rPr>
        <w:t>Prepared 9 June 2026  ·  Evidence-based review of the actual implementation  ·  No code written</w:t>
      </w:r>
    </w:p>
    <w:p/>
    <w:p>
      <w:pPr>
        <w:spacing w:before="280" w:after="80"/>
      </w:pPr>
      <w:r>
        <w:rPr>
          <w:b/>
          <w:color w:val="1F3864"/>
          <w:sz w:val="26"/>
        </w:rPr>
        <w:t>1.  Executive Summary</w:t>
      </w:r>
    </w:p>
    <w:p>
      <w:pPr>
        <w:spacing w:after="80"/>
      </w:pPr>
      <w:r>
        <w:rPr>
          <w:b w:val="0"/>
          <w:i w:val="0"/>
          <w:sz w:val="21"/>
        </w:rPr>
        <w:t>VANTORA has a genuine, purpose-built Platform Owner console — not a bolt-on. A single "Provider" navigation panel exposes 14 screens covering tenant lifecycle, plans/entitlements, multi-currency billing, internal staff, cross-tenant audit, global search, and platform analytics. The role model is clean and safe: erp_is_platform_owner() (a SECURITY DEFINER SQL function over erp_profiles.is_platform_owner) grants contained RLS bypass, distinct from company super-admin, with a forge-proof audit trail and a staff self-escalation guard.</w:t>
      </w:r>
    </w:p>
    <w:p>
      <w:pPr>
        <w:spacing w:after="80"/>
      </w:pPr>
      <w:r>
        <w:rPr>
          <w:b w:val="0"/>
          <w:i w:val="0"/>
          <w:sz w:val="21"/>
        </w:rPr>
        <w:t>The console is pilot-ready for operating tenants, but not yet production-ready for monetization or scale operations. The decisive gaps: no payment-gateway integration (billing tables exist; nothing charges a card), no usage/quota enforcement (limits stored, never checked), no bulk actions, no runtime feature-flag UI (~40 KAKO_* flags are deploy-time env vars), no support center, and no owner impersonation (only a read-only View-As preview). It runs 10–100 companies comfortably; 1,000+ is constrained by list/search patterns (1000-row capped scans, no bulk ops) and manual billing.</w:t>
      </w:r>
    </w:p>
    <w:p>
      <w:r>
        <w:rPr>
          <w:b/>
          <w:color w:val="1F3864"/>
          <w:sz w:val="24"/>
        </w:rPr>
        <w:t>Overall score: 6.1 / 10</w:t>
      </w:r>
      <w:r>
        <w:rPr>
          <w:sz w:val="21"/>
        </w:rPr>
        <w:t xml:space="preserve">  — a strong, well-architected foundation, ~65–70% of the way to a commercial multi-tenant control plane.</w:t>
      </w:r>
    </w:p>
    <w:p>
      <w:pPr>
        <w:spacing w:before="280" w:after="80"/>
      </w:pPr>
      <w:r>
        <w:rPr>
          <w:b/>
          <w:color w:val="1F3864"/>
          <w:sz w:val="26"/>
        </w:rPr>
        <w:t>2.  Current-State Assessment</w:t>
      </w:r>
    </w:p>
    <w:p>
      <w:pPr>
        <w:spacing w:before="280" w:after="80"/>
      </w:pPr>
      <w:r>
        <w:rPr>
          <w:b/>
          <w:color w:val="1F3864"/>
          <w:sz w:val="22"/>
        </w:rPr>
        <w:t>2.1  Role &amp; access model</w:t>
      </w:r>
    </w:p>
    <w:p>
      <w:pPr>
        <w:pStyle w:val="ListBullet"/>
        <w:spacing w:after="80"/>
      </w:pPr>
      <w:r>
        <w:rPr>
          <w:b w:val="0"/>
          <w:i w:val="0"/>
          <w:sz w:val="21"/>
        </w:rPr>
        <w:t>Owner identity: erp_is_platform_owner() → erp_profiles.is_platform_owner (mig 0018). Distinct from is_super_admin (company tier) and company admin role.</w:t>
      </w:r>
    </w:p>
    <w:p>
      <w:pPr>
        <w:pStyle w:val="ListBullet"/>
        <w:spacing w:after="80"/>
      </w:pPr>
      <w:r>
        <w:rPr>
          <w:b w:val="0"/>
          <w:i w:val="0"/>
          <w:sz w:val="21"/>
        </w:rPr>
        <w:t>RLS bypass: owner clause in 30+ policies (companies, branches, profiles, entitlements, audit, integrations, billing) — broad cross-tenant access, centrally defined.</w:t>
      </w:r>
    </w:p>
    <w:p>
      <w:pPr>
        <w:pStyle w:val="ListBullet"/>
        <w:spacing w:after="80"/>
      </w:pPr>
      <w:r>
        <w:rPr>
          <w:b w:val="0"/>
          <w:i w:val="0"/>
          <w:sz w:val="21"/>
        </w:rPr>
        <w:t>Platform permissions (7): view_companies, create_companies, manage_billing, export_data, manage_users, access_support_tickets, access_audit_logs.</w:t>
      </w:r>
    </w:p>
    <w:p>
      <w:pPr>
        <w:pStyle w:val="ListBullet"/>
        <w:spacing w:after="80"/>
      </w:pPr>
      <w:r>
        <w:rPr>
          <w:b w:val="0"/>
          <w:i w:val="0"/>
          <w:sz w:val="21"/>
        </w:rPr>
        <w:t>Platform staff roles (5): admin, sales, support, implementation, finance — owner is the apex; self-escalation blocked by a DB trigger.</w:t>
      </w:r>
    </w:p>
    <w:p>
      <w:pPr>
        <w:spacing w:before="280" w:after="80"/>
      </w:pPr>
      <w:r>
        <w:rPr>
          <w:b/>
          <w:color w:val="1F3864"/>
          <w:sz w:val="22"/>
        </w:rPr>
        <w:t>2.2  Navigation tree (current)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4608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Group / Item</w:t>
            </w:r>
          </w:p>
        </w:tc>
        <w:tc>
          <w:tcPr>
            <w:tcW w:type="dxa" w:w="3456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Route</w:t>
            </w:r>
          </w:p>
        </w:tc>
        <w:tc>
          <w:tcPr>
            <w:tcW w:type="dxa" w:w="2016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Gate</w:t>
            </w:r>
          </w:p>
        </w:tc>
      </w:tr>
      <w:tr>
        <w:tc>
          <w:tcPr>
            <w:tcW w:type="dxa" w:w="4608"/>
          </w:tcPr>
          <w:p>
            <w:r/>
            <w:r>
              <w:rPr>
                <w:b w:val="0"/>
                <w:sz w:val="17"/>
              </w:rPr>
              <w:t>Overview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7"/>
              </w:rPr>
              <w:t>/platform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sz w:val="17"/>
              </w:rPr>
              <w:t>owner-only</w:t>
            </w:r>
          </w:p>
        </w:tc>
      </w:tr>
      <w:tr>
        <w:tc>
          <w:tcPr>
            <w:tcW w:type="dxa" w:w="4608"/>
          </w:tcPr>
          <w:p>
            <w:r/>
            <w:r>
              <w:rPr>
                <w:b w:val="0"/>
                <w:sz w:val="17"/>
              </w:rPr>
              <w:t>Activity Feed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7"/>
              </w:rPr>
              <w:t>/platform/activity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sz w:val="17"/>
              </w:rPr>
              <w:t>owner-only</w:t>
            </w:r>
          </w:p>
        </w:tc>
      </w:tr>
      <w:tr>
        <w:tc>
          <w:tcPr>
            <w:tcW w:type="dxa" w:w="4608"/>
          </w:tcPr>
          <w:p>
            <w:r/>
            <w:r>
              <w:rPr>
                <w:b w:val="0"/>
                <w:sz w:val="17"/>
              </w:rPr>
              <w:t>Platform Analytics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7"/>
              </w:rPr>
              <w:t>/platform/analytics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sz w:val="17"/>
              </w:rPr>
              <w:t>owner-only</w:t>
            </w:r>
          </w:p>
        </w:tc>
      </w:tr>
      <w:tr>
        <w:tc>
          <w:tcPr>
            <w:tcW w:type="dxa" w:w="4608"/>
          </w:tcPr>
          <w:p>
            <w:r/>
            <w:r>
              <w:rPr>
                <w:b w:val="0"/>
                <w:sz w:val="17"/>
              </w:rPr>
              <w:t>Companies → Company 360 (8 tabs)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7"/>
              </w:rPr>
              <w:t>/platform/companies[/[id]]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sz w:val="17"/>
              </w:rPr>
              <w:t>perm: view_companies</w:t>
            </w:r>
          </w:p>
        </w:tc>
      </w:tr>
      <w:tr>
        <w:tc>
          <w:tcPr>
            <w:tcW w:type="dxa" w:w="4608"/>
          </w:tcPr>
          <w:p>
            <w:r/>
            <w:r>
              <w:rPr>
                <w:b w:val="0"/>
                <w:sz w:val="17"/>
              </w:rPr>
              <w:t xml:space="preserve">  • View-As · Per-company Analytics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7"/>
              </w:rPr>
              <w:t>/platform/companies/[id]/...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sz w:val="17"/>
              </w:rPr>
              <w:t>owner-only</w:t>
            </w:r>
          </w:p>
        </w:tc>
      </w:tr>
      <w:tr>
        <w:tc>
          <w:tcPr>
            <w:tcW w:type="dxa" w:w="4608"/>
          </w:tcPr>
          <w:p>
            <w:r/>
            <w:r>
              <w:rPr>
                <w:b w:val="0"/>
                <w:sz w:val="17"/>
              </w:rPr>
              <w:t>Plans Catalog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7"/>
              </w:rPr>
              <w:t>/platform/plans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sz w:val="17"/>
              </w:rPr>
              <w:t>owner-only</w:t>
            </w:r>
          </w:p>
        </w:tc>
      </w:tr>
      <w:tr>
        <w:tc>
          <w:tcPr>
            <w:tcW w:type="dxa" w:w="4608"/>
          </w:tcPr>
          <w:p>
            <w:r/>
            <w:r>
              <w:rPr>
                <w:b w:val="0"/>
                <w:sz w:val="17"/>
              </w:rPr>
              <w:t>Roles Catalog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7"/>
              </w:rPr>
              <w:t>/platform/roles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sz w:val="17"/>
              </w:rPr>
              <w:t>owner-only</w:t>
            </w:r>
          </w:p>
        </w:tc>
      </w:tr>
      <w:tr>
        <w:tc>
          <w:tcPr>
            <w:tcW w:type="dxa" w:w="4608"/>
          </w:tcPr>
          <w:p>
            <w:r/>
            <w:r>
              <w:rPr>
                <w:b w:val="0"/>
                <w:sz w:val="17"/>
              </w:rPr>
              <w:t>Billing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7"/>
              </w:rPr>
              <w:t>/platform/billing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sz w:val="17"/>
              </w:rPr>
              <w:t>owner-only</w:t>
            </w:r>
          </w:p>
        </w:tc>
      </w:tr>
      <w:tr>
        <w:tc>
          <w:tcPr>
            <w:tcW w:type="dxa" w:w="4608"/>
          </w:tcPr>
          <w:p>
            <w:r/>
            <w:r>
              <w:rPr>
                <w:b w:val="0"/>
                <w:sz w:val="17"/>
              </w:rPr>
              <w:t>Platform Staff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7"/>
              </w:rPr>
              <w:t>/platform/staff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sz w:val="17"/>
              </w:rPr>
              <w:t>perm: manage_users</w:t>
            </w:r>
          </w:p>
        </w:tc>
      </w:tr>
      <w:tr>
        <w:tc>
          <w:tcPr>
            <w:tcW w:type="dxa" w:w="4608"/>
          </w:tcPr>
          <w:p>
            <w:r/>
            <w:r>
              <w:rPr>
                <w:b w:val="0"/>
                <w:sz w:val="17"/>
              </w:rPr>
              <w:t>Audit Log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7"/>
              </w:rPr>
              <w:t>/platform/audit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sz w:val="17"/>
              </w:rPr>
              <w:t>perm: access_audit_logs</w:t>
            </w:r>
          </w:p>
        </w:tc>
      </w:tr>
      <w:tr>
        <w:tc>
          <w:tcPr>
            <w:tcW w:type="dxa" w:w="4608"/>
          </w:tcPr>
          <w:p>
            <w:r/>
            <w:r>
              <w:rPr>
                <w:b w:val="0"/>
                <w:sz w:val="17"/>
              </w:rPr>
              <w:t>Drugs (reference)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7"/>
              </w:rPr>
              <w:t>/platform/drugs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sz w:val="17"/>
              </w:rPr>
              <w:t>owner-only</w:t>
            </w:r>
          </w:p>
        </w:tc>
      </w:tr>
      <w:tr>
        <w:tc>
          <w:tcPr>
            <w:tcW w:type="dxa" w:w="4608"/>
          </w:tcPr>
          <w:p>
            <w:r/>
            <w:r>
              <w:rPr>
                <w:b w:val="0"/>
                <w:sz w:val="17"/>
              </w:rPr>
              <w:t>Copilot Analytics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7"/>
              </w:rPr>
              <w:t>/platform/copilot-analytics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sz w:val="17"/>
              </w:rPr>
              <w:t>shared w/ admins</w:t>
            </w:r>
          </w:p>
        </w:tc>
      </w:tr>
    </w:tbl>
    <w:p>
      <w:pPr>
        <w:spacing w:after="80"/>
      </w:pPr>
      <w:r>
        <w:rPr>
          <w:b w:val="0"/>
          <w:i/>
          <w:sz w:val="19"/>
        </w:rPr>
        <w:t>Max click depth ≈ 3 (Companies → [id] → tab). A platform search bar exists in the platform layout.</w:t>
      </w:r>
    </w:p>
    <w:p>
      <w:pPr>
        <w:spacing w:before="280" w:after="80"/>
      </w:pPr>
      <w:r>
        <w:rPr>
          <w:b/>
          <w:color w:val="1F3864"/>
          <w:sz w:val="22"/>
        </w:rPr>
        <w:t>2.3  Screen inventory (14 pages)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016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Screen</w:t>
            </w:r>
          </w:p>
        </w:tc>
        <w:tc>
          <w:tcPr>
            <w:tcW w:type="dxa" w:w="5040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1008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Freq</w:t>
            </w:r>
          </w:p>
        </w:tc>
        <w:tc>
          <w:tcPr>
            <w:tcW w:type="dxa" w:w="1008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864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Cplx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 w:val="0"/>
                <w:sz w:val="17"/>
              </w:rPr>
              <w:t>Overview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17"/>
              </w:rPr>
              <w:t>Portfolio + attention center (expiring subs, failed syncs, anomalies, idle tenants)</w:t>
            </w:r>
          </w:p>
        </w:tc>
        <w:tc>
          <w:tcPr>
            <w:tcW w:type="dxa" w:w="1008"/>
          </w:tcPr>
          <w:p>
            <w:r/>
            <w:r>
              <w:rPr>
                <w:b w:val="0"/>
                <w:sz w:val="17"/>
              </w:rPr>
              <w:t>Daily</w:t>
            </w:r>
          </w:p>
        </w:tc>
        <w:tc>
          <w:tcPr>
            <w:tcW w:type="dxa" w:w="1008"/>
          </w:tcPr>
          <w:p>
            <w:r/>
            <w:r>
              <w:rPr>
                <w:b w:val="0"/>
                <w:sz w:val="17"/>
              </w:rPr>
              <w:t>High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7"/>
              </w:rPr>
              <w:t>Med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 w:val="0"/>
                <w:sz w:val="17"/>
              </w:rPr>
              <w:t>Companies list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17"/>
              </w:rPr>
              <w:t>Searchable/sortable tenant list, state badges, counts</w:t>
            </w:r>
          </w:p>
        </w:tc>
        <w:tc>
          <w:tcPr>
            <w:tcW w:type="dxa" w:w="1008"/>
          </w:tcPr>
          <w:p>
            <w:r/>
            <w:r>
              <w:rPr>
                <w:b w:val="0"/>
                <w:sz w:val="17"/>
              </w:rPr>
              <w:t>Daily</w:t>
            </w:r>
          </w:p>
        </w:tc>
        <w:tc>
          <w:tcPr>
            <w:tcW w:type="dxa" w:w="1008"/>
          </w:tcPr>
          <w:p>
            <w:r/>
            <w:r>
              <w:rPr>
                <w:b w:val="0"/>
                <w:sz w:val="17"/>
              </w:rPr>
              <w:t>High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7"/>
              </w:rPr>
              <w:t>Low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 w:val="0"/>
                <w:sz w:val="17"/>
              </w:rPr>
              <w:t>Company 360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17"/>
              </w:rPr>
              <w:t>8-tab tenant control (sub, modules, members, roles, integrations, audit, analytics)</w:t>
            </w:r>
          </w:p>
        </w:tc>
        <w:tc>
          <w:tcPr>
            <w:tcW w:type="dxa" w:w="1008"/>
          </w:tcPr>
          <w:p>
            <w:r/>
            <w:r>
              <w:rPr>
                <w:b w:val="0"/>
                <w:sz w:val="17"/>
              </w:rPr>
              <w:t>Daily</w:t>
            </w:r>
          </w:p>
        </w:tc>
        <w:tc>
          <w:tcPr>
            <w:tcW w:type="dxa" w:w="1008"/>
          </w:tcPr>
          <w:p>
            <w:r/>
            <w:r>
              <w:rPr>
                <w:b w:val="0"/>
                <w:sz w:val="17"/>
              </w:rPr>
              <w:t>High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7"/>
              </w:rPr>
              <w:t>High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 w:val="0"/>
                <w:sz w:val="17"/>
              </w:rPr>
              <w:t>View-As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17"/>
              </w:rPr>
              <w:t>Read-only role-experience preview</w:t>
            </w:r>
          </w:p>
        </w:tc>
        <w:tc>
          <w:tcPr>
            <w:tcW w:type="dxa" w:w="1008"/>
          </w:tcPr>
          <w:p>
            <w:r/>
            <w:r>
              <w:rPr>
                <w:b w:val="0"/>
                <w:sz w:val="17"/>
              </w:rPr>
              <w:t>Occ.</w:t>
            </w:r>
          </w:p>
        </w:tc>
        <w:tc>
          <w:tcPr>
            <w:tcW w:type="dxa" w:w="1008"/>
          </w:tcPr>
          <w:p>
            <w:r/>
            <w:r>
              <w:rPr>
                <w:b w:val="0"/>
                <w:sz w:val="17"/>
              </w:rPr>
              <w:t>Med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7"/>
              </w:rPr>
              <w:t>Med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 w:val="0"/>
                <w:sz w:val="17"/>
              </w:rPr>
              <w:t>Per-company analytics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17"/>
              </w:rPr>
              <w:t>Operational KPIs for one tenant</w:t>
            </w:r>
          </w:p>
        </w:tc>
        <w:tc>
          <w:tcPr>
            <w:tcW w:type="dxa" w:w="1008"/>
          </w:tcPr>
          <w:p>
            <w:r/>
            <w:r>
              <w:rPr>
                <w:b w:val="0"/>
                <w:sz w:val="17"/>
              </w:rPr>
              <w:t>Weekly</w:t>
            </w:r>
          </w:p>
        </w:tc>
        <w:tc>
          <w:tcPr>
            <w:tcW w:type="dxa" w:w="1008"/>
          </w:tcPr>
          <w:p>
            <w:r/>
            <w:r>
              <w:rPr>
                <w:b w:val="0"/>
                <w:sz w:val="17"/>
              </w:rPr>
              <w:t>Med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7"/>
              </w:rPr>
              <w:t>Med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 w:val="0"/>
                <w:sz w:val="17"/>
              </w:rPr>
              <w:t>Plans Catalog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17"/>
              </w:rPr>
              <w:t>Plans, limits, module grants, business-type templates</w:t>
            </w:r>
          </w:p>
        </w:tc>
        <w:tc>
          <w:tcPr>
            <w:tcW w:type="dxa" w:w="1008"/>
          </w:tcPr>
          <w:p>
            <w:r/>
            <w:r>
              <w:rPr>
                <w:b w:val="0"/>
                <w:sz w:val="17"/>
              </w:rPr>
              <w:t>Weekly</w:t>
            </w:r>
          </w:p>
        </w:tc>
        <w:tc>
          <w:tcPr>
            <w:tcW w:type="dxa" w:w="1008"/>
          </w:tcPr>
          <w:p>
            <w:r/>
            <w:r>
              <w:rPr>
                <w:b w:val="0"/>
                <w:sz w:val="17"/>
              </w:rPr>
              <w:t>High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7"/>
              </w:rPr>
              <w:t>Med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 w:val="0"/>
                <w:sz w:val="17"/>
              </w:rPr>
              <w:t>Roles Catalog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17"/>
              </w:rPr>
              <w:t>Global role→permission defaults seeded to tenants</w:t>
            </w:r>
          </w:p>
        </w:tc>
        <w:tc>
          <w:tcPr>
            <w:tcW w:type="dxa" w:w="1008"/>
          </w:tcPr>
          <w:p>
            <w:r/>
            <w:r>
              <w:rPr>
                <w:b w:val="0"/>
                <w:sz w:val="17"/>
              </w:rPr>
              <w:t>Rare</w:t>
            </w:r>
          </w:p>
        </w:tc>
        <w:tc>
          <w:tcPr>
            <w:tcW w:type="dxa" w:w="1008"/>
          </w:tcPr>
          <w:p>
            <w:r/>
            <w:r>
              <w:rPr>
                <w:b w:val="0"/>
                <w:sz w:val="17"/>
              </w:rPr>
              <w:t>Med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7"/>
              </w:rPr>
              <w:t>Med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 w:val="0"/>
                <w:sz w:val="17"/>
              </w:rPr>
              <w:t>Billing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17"/>
              </w:rPr>
              <w:t>Subscriptions, invoices, multi-currency price book</w:t>
            </w:r>
          </w:p>
        </w:tc>
        <w:tc>
          <w:tcPr>
            <w:tcW w:type="dxa" w:w="1008"/>
          </w:tcPr>
          <w:p>
            <w:r/>
            <w:r>
              <w:rPr>
                <w:b w:val="0"/>
                <w:sz w:val="17"/>
              </w:rPr>
              <w:t>Weekly</w:t>
            </w:r>
          </w:p>
        </w:tc>
        <w:tc>
          <w:tcPr>
            <w:tcW w:type="dxa" w:w="1008"/>
          </w:tcPr>
          <w:p>
            <w:r/>
            <w:r>
              <w:rPr>
                <w:b w:val="0"/>
                <w:sz w:val="17"/>
              </w:rPr>
              <w:t>High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7"/>
              </w:rPr>
              <w:t>High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 w:val="0"/>
                <w:sz w:val="17"/>
              </w:rPr>
              <w:t>Platform Staff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17"/>
              </w:rPr>
              <w:t>Hire/role/override/offboard internal staff</w:t>
            </w:r>
          </w:p>
        </w:tc>
        <w:tc>
          <w:tcPr>
            <w:tcW w:type="dxa" w:w="1008"/>
          </w:tcPr>
          <w:p>
            <w:r/>
            <w:r>
              <w:rPr>
                <w:b w:val="0"/>
                <w:sz w:val="17"/>
              </w:rPr>
              <w:t>Monthly</w:t>
            </w:r>
          </w:p>
        </w:tc>
        <w:tc>
          <w:tcPr>
            <w:tcW w:type="dxa" w:w="1008"/>
          </w:tcPr>
          <w:p>
            <w:r/>
            <w:r>
              <w:rPr>
                <w:b w:val="0"/>
                <w:sz w:val="17"/>
              </w:rPr>
              <w:t>Med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7"/>
              </w:rPr>
              <w:t>Med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 w:val="0"/>
                <w:sz w:val="17"/>
              </w:rPr>
              <w:t>Audit Log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17"/>
              </w:rPr>
              <w:t>Cross-tenant forensic log w/ filters</w:t>
            </w:r>
          </w:p>
        </w:tc>
        <w:tc>
          <w:tcPr>
            <w:tcW w:type="dxa" w:w="1008"/>
          </w:tcPr>
          <w:p>
            <w:r/>
            <w:r>
              <w:rPr>
                <w:b w:val="0"/>
                <w:sz w:val="17"/>
              </w:rPr>
              <w:t>Weekly</w:t>
            </w:r>
          </w:p>
        </w:tc>
        <w:tc>
          <w:tcPr>
            <w:tcW w:type="dxa" w:w="1008"/>
          </w:tcPr>
          <w:p>
            <w:r/>
            <w:r>
              <w:rPr>
                <w:b w:val="0"/>
                <w:sz w:val="17"/>
              </w:rPr>
              <w:t>High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7"/>
              </w:rPr>
              <w:t>Med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 w:val="0"/>
                <w:sz w:val="17"/>
              </w:rPr>
              <w:t>Activity Feed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17"/>
              </w:rPr>
              <w:t>Human-readable cross-tenant event stream</w:t>
            </w:r>
          </w:p>
        </w:tc>
        <w:tc>
          <w:tcPr>
            <w:tcW w:type="dxa" w:w="1008"/>
          </w:tcPr>
          <w:p>
            <w:r/>
            <w:r>
              <w:rPr>
                <w:b w:val="0"/>
                <w:sz w:val="17"/>
              </w:rPr>
              <w:t>Daily</w:t>
            </w:r>
          </w:p>
        </w:tc>
        <w:tc>
          <w:tcPr>
            <w:tcW w:type="dxa" w:w="1008"/>
          </w:tcPr>
          <w:p>
            <w:r/>
            <w:r>
              <w:rPr>
                <w:b w:val="0"/>
                <w:sz w:val="17"/>
              </w:rPr>
              <w:t>Med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7"/>
              </w:rPr>
              <w:t>Low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 w:val="0"/>
                <w:sz w:val="17"/>
              </w:rPr>
              <w:t>Platform Analytics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17"/>
              </w:rPr>
              <w:t>Growth, subscription mix, MRR-ish, module adoption</w:t>
            </w:r>
          </w:p>
        </w:tc>
        <w:tc>
          <w:tcPr>
            <w:tcW w:type="dxa" w:w="1008"/>
          </w:tcPr>
          <w:p>
            <w:r/>
            <w:r>
              <w:rPr>
                <w:b w:val="0"/>
                <w:sz w:val="17"/>
              </w:rPr>
              <w:t>Weekly</w:t>
            </w:r>
          </w:p>
        </w:tc>
        <w:tc>
          <w:tcPr>
            <w:tcW w:type="dxa" w:w="1008"/>
          </w:tcPr>
          <w:p>
            <w:r/>
            <w:r>
              <w:rPr>
                <w:b w:val="0"/>
                <w:sz w:val="17"/>
              </w:rPr>
              <w:t>High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7"/>
              </w:rPr>
              <w:t>Med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 w:val="0"/>
                <w:sz w:val="17"/>
              </w:rPr>
              <w:t>Drugs reference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17"/>
              </w:rPr>
              <w:t>Pharmacy vertical catalog</w:t>
            </w:r>
          </w:p>
        </w:tc>
        <w:tc>
          <w:tcPr>
            <w:tcW w:type="dxa" w:w="1008"/>
          </w:tcPr>
          <w:p>
            <w:r/>
            <w:r>
              <w:rPr>
                <w:b w:val="0"/>
                <w:sz w:val="17"/>
              </w:rPr>
              <w:t>Rare</w:t>
            </w:r>
          </w:p>
        </w:tc>
        <w:tc>
          <w:tcPr>
            <w:tcW w:type="dxa" w:w="1008"/>
          </w:tcPr>
          <w:p>
            <w:r/>
            <w:r>
              <w:rPr>
                <w:b w:val="0"/>
                <w:sz w:val="17"/>
              </w:rPr>
              <w:t>Low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7"/>
              </w:rPr>
              <w:t>Low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 w:val="0"/>
                <w:sz w:val="17"/>
              </w:rPr>
              <w:t>Copilot Analytics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17"/>
              </w:rPr>
              <w:t>Blocked/confusing queries</w:t>
            </w:r>
          </w:p>
        </w:tc>
        <w:tc>
          <w:tcPr>
            <w:tcW w:type="dxa" w:w="1008"/>
          </w:tcPr>
          <w:p>
            <w:r/>
            <w:r>
              <w:rPr>
                <w:b w:val="0"/>
                <w:sz w:val="17"/>
              </w:rPr>
              <w:t>Rare</w:t>
            </w:r>
          </w:p>
        </w:tc>
        <w:tc>
          <w:tcPr>
            <w:tcW w:type="dxa" w:w="1008"/>
          </w:tcPr>
          <w:p>
            <w:r/>
            <w:r>
              <w:rPr>
                <w:b w:val="0"/>
                <w:sz w:val="17"/>
              </w:rPr>
              <w:t>Med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7"/>
              </w:rPr>
              <w:t>Low</w:t>
            </w:r>
          </w:p>
        </w:tc>
      </w:tr>
    </w:tbl>
    <w:p>
      <w:pPr>
        <w:spacing w:before="280" w:after="80"/>
      </w:pPr>
      <w:r>
        <w:rPr>
          <w:b/>
          <w:color w:val="1F3864"/>
          <w:sz w:val="22"/>
        </w:rPr>
        <w:t>2.4  Action inventory (owner-gated)</w:t>
      </w:r>
    </w:p>
    <w:p>
      <w:pPr>
        <w:pStyle w:val="ListBullet"/>
        <w:spacing w:after="40"/>
      </w:pPr>
      <w:r>
        <w:rPr>
          <w:b/>
          <w:color w:val="1F3864"/>
          <w:sz w:val="20"/>
        </w:rPr>
        <w:t xml:space="preserve">Tenants: </w:t>
      </w:r>
      <w:r>
        <w:rPr>
          <w:sz w:val="20"/>
        </w:rPr>
        <w:t>createCompany, updateCompany, setCompanyActive (suspend/activate), setSubscriptionEnd, setCompanySelfUsers. No delete (soft-suspend only).</w:t>
      </w:r>
    </w:p>
    <w:p>
      <w:pPr>
        <w:pStyle w:val="ListBullet"/>
        <w:spacing w:after="40"/>
      </w:pPr>
      <w:r>
        <w:rPr>
          <w:b/>
          <w:color w:val="1F3864"/>
          <w:sz w:val="20"/>
        </w:rPr>
        <w:t xml:space="preserve">Plans/entitlements: </w:t>
      </w:r>
      <w:r>
        <w:rPr>
          <w:sz w:val="20"/>
        </w:rPr>
        <w:t>createPlan, updatePlan, setPlanActive, clonePlan, setPlanModules, reorderPlans, setBusinessTypeModule.</w:t>
      </w:r>
    </w:p>
    <w:p>
      <w:pPr>
        <w:pStyle w:val="ListBullet"/>
        <w:spacing w:after="40"/>
      </w:pPr>
      <w:r>
        <w:rPr>
          <w:b/>
          <w:color w:val="1F3864"/>
          <w:sz w:val="20"/>
        </w:rPr>
        <w:t xml:space="preserve">Billing: </w:t>
      </w:r>
      <w:r>
        <w:rPr>
          <w:sz w:val="20"/>
        </w:rPr>
        <w:t>setPlanPrice, subscribeCompany, setSubscriptionStatus, issueInvoice.</w:t>
      </w:r>
    </w:p>
    <w:p>
      <w:pPr>
        <w:pStyle w:val="ListBullet"/>
        <w:spacing w:after="40"/>
      </w:pPr>
      <w:r>
        <w:rPr>
          <w:b/>
          <w:color w:val="1F3864"/>
          <w:sz w:val="20"/>
        </w:rPr>
        <w:t xml:space="preserve">Staff: </w:t>
      </w:r>
      <w:r>
        <w:rPr>
          <w:sz w:val="20"/>
        </w:rPr>
        <w:t>createStaff, setStaffRole, setStaffOverride, setStaffActive.</w:t>
      </w:r>
    </w:p>
    <w:p>
      <w:pPr>
        <w:pStyle w:val="ListBullet"/>
        <w:spacing w:after="40"/>
      </w:pPr>
      <w:r>
        <w:rPr>
          <w:b/>
          <w:color w:val="1F3864"/>
          <w:sz w:val="20"/>
        </w:rPr>
        <w:t xml:space="preserve">Cross-cutting: </w:t>
      </w:r>
      <w:r>
        <w:rPr>
          <w:sz w:val="20"/>
        </w:rPr>
        <w:t>searchPlatform (read-only global search).</w:t>
      </w:r>
    </w:p>
    <w:p>
      <w:pPr>
        <w:spacing w:before="280" w:after="80"/>
      </w:pPr>
      <w:r>
        <w:rPr>
          <w:b/>
          <w:color w:val="1F3864"/>
          <w:sz w:val="22"/>
        </w:rPr>
        <w:t>2.5  Subscription/billing &amp; entitlements</w:t>
      </w:r>
    </w:p>
    <w:p>
      <w:pPr>
        <w:pStyle w:val="ListBullet"/>
        <w:spacing w:after="80"/>
      </w:pPr>
      <w:r>
        <w:rPr>
          <w:b w:val="0"/>
          <w:i w:val="0"/>
          <w:sz w:val="21"/>
        </w:rPr>
        <w:t>Billing infra present (erp_billing_subscriptions/_plan_prices/_invoices/_invoice_lines/_payments, mig 0086): statuses (trial/active/suspended/cancelled/expired), multi-currency (GCC + EGP + USD), monthly/yearly, VAT-ready invoices, manual payments.</w:t>
      </w:r>
    </w:p>
    <w:p>
      <w:pPr>
        <w:pStyle w:val="ListBullet"/>
        <w:spacing w:after="80"/>
      </w:pPr>
      <w:r>
        <w:rPr>
          <w:b w:val="0"/>
          <w:i w:val="0"/>
          <w:sz w:val="21"/>
        </w:rPr>
        <w:t>Entitlement engine (erp_modules/_features/_company_entitlements/_user_permission_overrides, mig 0263) with temporal windows + quotas; gated by KAKO_ENTITLEMENTS (default OFF). Owner configures capability today via Plans → Modules and Company 360 → Modules.</w:t>
      </w:r>
    </w:p>
    <w:p>
      <w:r>
        <w:br w:type="page"/>
      </w:r>
    </w:p>
    <w:p>
      <w:pPr>
        <w:spacing w:before="280" w:after="80"/>
      </w:pPr>
      <w:r>
        <w:rPr>
          <w:b/>
          <w:color w:val="1F3864"/>
          <w:sz w:val="26"/>
        </w:rPr>
        <w:t>3.  Competitive Benchmark Matrix</w:t>
      </w:r>
    </w:p>
    <w:p>
      <w:pPr>
        <w:spacing w:after="80"/>
      </w:pPr>
      <w:r>
        <w:rPr>
          <w:b w:val="0"/>
          <w:i/>
          <w:sz w:val="19"/>
        </w:rPr>
        <w:t>Legend: ▲ stronger · ◆ equal · ▼ weaker (VANTORA vs the competitor's platform-admin / control-plane).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2160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Capability</w:t>
            </w:r>
          </w:p>
        </w:tc>
        <w:tc>
          <w:tcPr>
            <w:tcW w:type="dxa" w:w="720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Odoo</w:t>
            </w:r>
          </w:p>
        </w:tc>
        <w:tc>
          <w:tcPr>
            <w:tcW w:type="dxa" w:w="720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Zoho</w:t>
            </w:r>
          </w:p>
        </w:tc>
        <w:tc>
          <w:tcPr>
            <w:tcW w:type="dxa" w:w="720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NetSuite</w:t>
            </w:r>
          </w:p>
        </w:tc>
        <w:tc>
          <w:tcPr>
            <w:tcW w:type="dxa" w:w="720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SAP B1</w:t>
            </w:r>
          </w:p>
        </w:tc>
        <w:tc>
          <w:tcPr>
            <w:tcW w:type="dxa" w:w="720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Dyn365</w:t>
            </w:r>
          </w:p>
        </w:tc>
        <w:tc>
          <w:tcPr>
            <w:tcW w:type="dxa" w:w="720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SFDC</w:t>
            </w:r>
          </w:p>
        </w:tc>
        <w:tc>
          <w:tcPr>
            <w:tcW w:type="dxa" w:w="720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Monday</w:t>
            </w:r>
          </w:p>
        </w:tc>
        <w:tc>
          <w:tcPr>
            <w:tcW w:type="dxa" w:w="720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ClickUp</w:t>
            </w:r>
          </w:p>
        </w:tc>
        <w:tc>
          <w:tcPr>
            <w:tcW w:type="dxa" w:w="720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HubSpot</w:t>
            </w:r>
          </w:p>
        </w:tc>
        <w:tc>
          <w:tcPr>
            <w:tcW w:type="dxa" w:w="720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Fresh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7"/>
              </w:rPr>
              <w:t>Tenant management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1B7F37"/>
                <w:sz w:val="18"/>
              </w:rPr>
              <w:t>▲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555555"/>
                <w:sz w:val="18"/>
              </w:rPr>
              <w:t>◆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B3261E"/>
                <w:sz w:val="18"/>
              </w:rPr>
              <w:t>▼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1B7F37"/>
                <w:sz w:val="18"/>
              </w:rPr>
              <w:t>▲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B3261E"/>
                <w:sz w:val="18"/>
              </w:rPr>
              <w:t>▼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B3261E"/>
                <w:sz w:val="18"/>
              </w:rPr>
              <w:t>▼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555555"/>
                <w:sz w:val="18"/>
              </w:rPr>
              <w:t>◆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555555"/>
                <w:sz w:val="18"/>
              </w:rPr>
              <w:t>◆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555555"/>
                <w:sz w:val="18"/>
              </w:rPr>
              <w:t>◆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555555"/>
                <w:sz w:val="18"/>
              </w:rPr>
              <w:t>◆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7"/>
              </w:rPr>
              <w:t>User management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555555"/>
                <w:sz w:val="18"/>
              </w:rPr>
              <w:t>◆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B3261E"/>
                <w:sz w:val="18"/>
              </w:rPr>
              <w:t>▼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B3261E"/>
                <w:sz w:val="18"/>
              </w:rPr>
              <w:t>▼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555555"/>
                <w:sz w:val="18"/>
              </w:rPr>
              <w:t>◆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B3261E"/>
                <w:sz w:val="18"/>
              </w:rPr>
              <w:t>▼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B3261E"/>
                <w:sz w:val="18"/>
              </w:rPr>
              <w:t>▼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B3261E"/>
                <w:sz w:val="18"/>
              </w:rPr>
              <w:t>▼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B3261E"/>
                <w:sz w:val="18"/>
              </w:rPr>
              <w:t>▼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B3261E"/>
                <w:sz w:val="18"/>
              </w:rPr>
              <w:t>▼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B3261E"/>
                <w:sz w:val="18"/>
              </w:rPr>
              <w:t>▼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7"/>
              </w:rPr>
              <w:t>Roles &amp; permissions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555555"/>
                <w:sz w:val="18"/>
              </w:rPr>
              <w:t>◆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555555"/>
                <w:sz w:val="18"/>
              </w:rPr>
              <w:t>◆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B3261E"/>
                <w:sz w:val="18"/>
              </w:rPr>
              <w:t>▼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555555"/>
                <w:sz w:val="18"/>
              </w:rPr>
              <w:t>◆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B3261E"/>
                <w:sz w:val="18"/>
              </w:rPr>
              <w:t>▼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B3261E"/>
                <w:sz w:val="18"/>
              </w:rPr>
              <w:t>▼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555555"/>
                <w:sz w:val="18"/>
              </w:rPr>
              <w:t>◆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555555"/>
                <w:sz w:val="18"/>
              </w:rPr>
              <w:t>◆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555555"/>
                <w:sz w:val="18"/>
              </w:rPr>
              <w:t>◆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555555"/>
                <w:sz w:val="18"/>
              </w:rPr>
              <w:t>◆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7"/>
              </w:rPr>
              <w:t>Module management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555555"/>
                <w:sz w:val="18"/>
              </w:rPr>
              <w:t>◆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555555"/>
                <w:sz w:val="18"/>
              </w:rPr>
              <w:t>◆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B3261E"/>
                <w:sz w:val="18"/>
              </w:rPr>
              <w:t>▼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555555"/>
                <w:sz w:val="18"/>
              </w:rPr>
              <w:t>◆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B3261E"/>
                <w:sz w:val="18"/>
              </w:rPr>
              <w:t>▼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B3261E"/>
                <w:sz w:val="18"/>
              </w:rPr>
              <w:t>▼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1B7F37"/>
                <w:sz w:val="18"/>
              </w:rPr>
              <w:t>▲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1B7F37"/>
                <w:sz w:val="18"/>
              </w:rPr>
              <w:t>▲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555555"/>
                <w:sz w:val="18"/>
              </w:rPr>
              <w:t>◆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555555"/>
                <w:sz w:val="18"/>
              </w:rPr>
              <w:t>◆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7"/>
              </w:rPr>
              <w:t>Subscription mgmt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B3261E"/>
                <w:sz w:val="18"/>
              </w:rPr>
              <w:t>▼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B3261E"/>
                <w:sz w:val="18"/>
              </w:rPr>
              <w:t>▼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B3261E"/>
                <w:sz w:val="18"/>
              </w:rPr>
              <w:t>▼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555555"/>
                <w:sz w:val="18"/>
              </w:rPr>
              <w:t>◆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B3261E"/>
                <w:sz w:val="18"/>
              </w:rPr>
              <w:t>▼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B3261E"/>
                <w:sz w:val="18"/>
              </w:rPr>
              <w:t>▼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B3261E"/>
                <w:sz w:val="18"/>
              </w:rPr>
              <w:t>▼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B3261E"/>
                <w:sz w:val="18"/>
              </w:rPr>
              <w:t>▼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B3261E"/>
                <w:sz w:val="18"/>
              </w:rPr>
              <w:t>▼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B3261E"/>
                <w:sz w:val="18"/>
              </w:rPr>
              <w:t>▼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7"/>
              </w:rPr>
              <w:t>Feature flags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555555"/>
                <w:sz w:val="18"/>
              </w:rPr>
              <w:t>◆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555555"/>
                <w:sz w:val="18"/>
              </w:rPr>
              <w:t>◆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555555"/>
                <w:sz w:val="18"/>
              </w:rPr>
              <w:t>◆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555555"/>
                <w:sz w:val="18"/>
              </w:rPr>
              <w:t>◆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555555"/>
                <w:sz w:val="18"/>
              </w:rPr>
              <w:t>◆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B3261E"/>
                <w:sz w:val="18"/>
              </w:rPr>
              <w:t>▼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555555"/>
                <w:sz w:val="18"/>
              </w:rPr>
              <w:t>◆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555555"/>
                <w:sz w:val="18"/>
              </w:rPr>
              <w:t>◆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555555"/>
                <w:sz w:val="18"/>
              </w:rPr>
              <w:t>◆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555555"/>
                <w:sz w:val="18"/>
              </w:rPr>
              <w:t>◆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7"/>
              </w:rPr>
              <w:t>Integrations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B3261E"/>
                <w:sz w:val="18"/>
              </w:rPr>
              <w:t>▼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B3261E"/>
                <w:sz w:val="18"/>
              </w:rPr>
              <w:t>▼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B3261E"/>
                <w:sz w:val="18"/>
              </w:rPr>
              <w:t>▼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B3261E"/>
                <w:sz w:val="18"/>
              </w:rPr>
              <w:t>▼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B3261E"/>
                <w:sz w:val="18"/>
              </w:rPr>
              <w:t>▼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B3261E"/>
                <w:sz w:val="18"/>
              </w:rPr>
              <w:t>▼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B3261E"/>
                <w:sz w:val="18"/>
              </w:rPr>
              <w:t>▼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B3261E"/>
                <w:sz w:val="18"/>
              </w:rPr>
              <w:t>▼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B3261E"/>
                <w:sz w:val="18"/>
              </w:rPr>
              <w:t>▼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B3261E"/>
                <w:sz w:val="18"/>
              </w:rPr>
              <w:t>▼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7"/>
              </w:rPr>
              <w:t>Audit logs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1B7F37"/>
                <w:sz w:val="18"/>
              </w:rPr>
              <w:t>▲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555555"/>
                <w:sz w:val="18"/>
              </w:rPr>
              <w:t>◆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B3261E"/>
                <w:sz w:val="18"/>
              </w:rPr>
              <w:t>▼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555555"/>
                <w:sz w:val="18"/>
              </w:rPr>
              <w:t>◆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B3261E"/>
                <w:sz w:val="18"/>
              </w:rPr>
              <w:t>▼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B3261E"/>
                <w:sz w:val="18"/>
              </w:rPr>
              <w:t>▼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1B7F37"/>
                <w:sz w:val="18"/>
              </w:rPr>
              <w:t>▲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1B7F37"/>
                <w:sz w:val="18"/>
              </w:rPr>
              <w:t>▲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555555"/>
                <w:sz w:val="18"/>
              </w:rPr>
              <w:t>◆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555555"/>
                <w:sz w:val="18"/>
              </w:rPr>
              <w:t>◆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7"/>
              </w:rPr>
              <w:t>Platform admin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555555"/>
                <w:sz w:val="18"/>
              </w:rPr>
              <w:t>◆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B3261E"/>
                <w:sz w:val="18"/>
              </w:rPr>
              <w:t>▼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B3261E"/>
                <w:sz w:val="18"/>
              </w:rPr>
              <w:t>▼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555555"/>
                <w:sz w:val="18"/>
              </w:rPr>
              <w:t>◆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B3261E"/>
                <w:sz w:val="18"/>
              </w:rPr>
              <w:t>▼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B3261E"/>
                <w:sz w:val="18"/>
              </w:rPr>
              <w:t>▼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555555"/>
                <w:sz w:val="18"/>
              </w:rPr>
              <w:t>◆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555555"/>
                <w:sz w:val="18"/>
              </w:rPr>
              <w:t>◆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555555"/>
                <w:sz w:val="18"/>
              </w:rPr>
              <w:t>◆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555555"/>
                <w:sz w:val="18"/>
              </w:rPr>
              <w:t>◆</w:t>
            </w:r>
          </w:p>
        </w:tc>
      </w:tr>
    </w:tbl>
    <w:p>
      <w:pPr>
        <w:spacing w:after="80"/>
      </w:pPr>
      <w:r>
        <w:rPr>
          <w:b w:val="0"/>
          <w:i w:val="0"/>
          <w:sz w:val="19"/>
        </w:rPr>
        <w:t>Stronger/equal: a single focused owner console with a cross-tenant forensic audit center and global search out of the box — cleaner than Odoo's DB-manager sprawl or the deep admin trees of NetSuite/SAP/Dynamics. Business-type module/plan templating is a real strength.</w:t>
      </w:r>
    </w:p>
    <w:p>
      <w:pPr>
        <w:spacing w:after="80"/>
      </w:pPr>
      <w:r>
        <w:rPr>
          <w:b w:val="0"/>
          <w:i w:val="0"/>
          <w:sz w:val="19"/>
        </w:rPr>
        <w:t>Uniformly weaker: subscription monetization (gateways, dunning, proration, self-serve everywhere — VANTORA none live) and integrations (mature marketplaces vs connectors + a health view). Platform-level user management is indirect (tenant-admin-driven).</w:t>
      </w:r>
    </w:p>
    <w:p>
      <w:pPr>
        <w:spacing w:before="280" w:after="80"/>
      </w:pPr>
      <w:r>
        <w:rPr>
          <w:b/>
          <w:color w:val="1F3864"/>
          <w:sz w:val="26"/>
        </w:rPr>
        <w:t>4.  Strengths &amp; Weaknesses</w:t>
      </w:r>
    </w:p>
    <w:p>
      <w:pPr>
        <w:spacing w:before="280" w:after="80"/>
      </w:pPr>
      <w:r>
        <w:rPr>
          <w:b/>
          <w:color w:val="1B7F37"/>
          <w:sz w:val="22"/>
        </w:rPr>
        <w:t>Top strengths (12 of 20)</w:t>
      </w:r>
    </w:p>
    <w:p>
      <w:pPr>
        <w:spacing w:after="80"/>
      </w:pPr>
      <w:r>
        <w:rPr>
          <w:b/>
          <w:color w:val="1F3864"/>
          <w:sz w:val="20"/>
        </w:rPr>
        <w:t xml:space="preserve">1. </w:t>
      </w:r>
      <w:r>
        <w:rPr>
          <w:b w:val="0"/>
          <w:i w:val="0"/>
          <w:sz w:val="20"/>
        </w:rPr>
        <w:t>Dedicated owner console (not repurposed admin) — clear vendor/tenant separation.</w:t>
      </w:r>
    </w:p>
    <w:p>
      <w:pPr>
        <w:spacing w:after="80"/>
      </w:pPr>
      <w:r>
        <w:rPr>
          <w:b/>
          <w:color w:val="1F3864"/>
          <w:sz w:val="20"/>
        </w:rPr>
        <w:t xml:space="preserve">2. </w:t>
      </w:r>
      <w:r>
        <w:rPr>
          <w:b w:val="0"/>
          <w:i w:val="0"/>
          <w:sz w:val="20"/>
        </w:rPr>
        <w:t>Contained RLS bypass via one SQL function — auditable, centralized.</w:t>
      </w:r>
    </w:p>
    <w:p>
      <w:pPr>
        <w:spacing w:after="80"/>
      </w:pPr>
      <w:r>
        <w:rPr>
          <w:b/>
          <w:color w:val="1F3864"/>
          <w:sz w:val="20"/>
        </w:rPr>
        <w:t xml:space="preserve">3. </w:t>
      </w:r>
      <w:r>
        <w:rPr>
          <w:b w:val="0"/>
          <w:i w:val="0"/>
          <w:sz w:val="20"/>
        </w:rPr>
        <w:t>Forge-proof audit (erp_log_audit SECURITY DEFINER captures auth.uid()).</w:t>
      </w:r>
    </w:p>
    <w:p>
      <w:pPr>
        <w:spacing w:after="80"/>
      </w:pPr>
      <w:r>
        <w:rPr>
          <w:b/>
          <w:color w:val="1F3864"/>
          <w:sz w:val="20"/>
        </w:rPr>
        <w:t xml:space="preserve">4. </w:t>
      </w:r>
      <w:r>
        <w:rPr>
          <w:b w:val="0"/>
          <w:i w:val="0"/>
          <w:sz w:val="20"/>
        </w:rPr>
        <w:t>Cross-tenant audit center with filters + pagination.</w:t>
      </w:r>
    </w:p>
    <w:p>
      <w:pPr>
        <w:spacing w:after="80"/>
      </w:pPr>
      <w:r>
        <w:rPr>
          <w:b/>
          <w:color w:val="1F3864"/>
          <w:sz w:val="20"/>
        </w:rPr>
        <w:t xml:space="preserve">5. </w:t>
      </w:r>
      <w:r>
        <w:rPr>
          <w:b w:val="0"/>
          <w:i w:val="0"/>
          <w:sz w:val="20"/>
        </w:rPr>
        <w:t>Global cross-tenant search (companies/users/audit/approvals).</w:t>
      </w:r>
    </w:p>
    <w:p>
      <w:pPr>
        <w:spacing w:after="80"/>
      </w:pPr>
      <w:r>
        <w:rPr>
          <w:b/>
          <w:color w:val="1F3864"/>
          <w:sz w:val="20"/>
        </w:rPr>
        <w:t xml:space="preserve">6. </w:t>
      </w:r>
      <w:r>
        <w:rPr>
          <w:b w:val="0"/>
          <w:i w:val="0"/>
          <w:sz w:val="20"/>
        </w:rPr>
        <w:t>Attention-center Overview (expiring subs, failed syncs, anomalies, idle tenants).</w:t>
      </w:r>
    </w:p>
    <w:p>
      <w:pPr>
        <w:spacing w:after="80"/>
      </w:pPr>
      <w:r>
        <w:rPr>
          <w:b/>
          <w:color w:val="1F3864"/>
          <w:sz w:val="20"/>
        </w:rPr>
        <w:t xml:space="preserve">7. </w:t>
      </w:r>
      <w:r>
        <w:rPr>
          <w:b w:val="0"/>
          <w:i w:val="0"/>
          <w:sz w:val="20"/>
        </w:rPr>
        <w:t>Company 360 consolidates a tenant into 8 tabs.</w:t>
      </w:r>
    </w:p>
    <w:p>
      <w:pPr>
        <w:spacing w:after="80"/>
      </w:pPr>
      <w:r>
        <w:rPr>
          <w:b/>
          <w:color w:val="1F3864"/>
          <w:sz w:val="20"/>
        </w:rPr>
        <w:t xml:space="preserve">8. </w:t>
      </w:r>
      <w:r>
        <w:rPr>
          <w:b w:val="0"/>
          <w:i w:val="0"/>
          <w:sz w:val="20"/>
        </w:rPr>
        <w:t>View-As role preview (safe, no session swap).</w:t>
      </w:r>
    </w:p>
    <w:p>
      <w:pPr>
        <w:spacing w:after="80"/>
      </w:pPr>
      <w:r>
        <w:rPr>
          <w:b/>
          <w:color w:val="1F3864"/>
          <w:sz w:val="20"/>
        </w:rPr>
        <w:t xml:space="preserve">9. </w:t>
      </w:r>
      <w:r>
        <w:rPr>
          <w:b w:val="0"/>
          <w:i w:val="0"/>
          <w:sz w:val="20"/>
        </w:rPr>
        <w:t>Plan/module/business-type templating drives consistent provisioning.</w:t>
      </w:r>
    </w:p>
    <w:p>
      <w:pPr>
        <w:spacing w:after="80"/>
      </w:pPr>
      <w:r>
        <w:rPr>
          <w:b/>
          <w:color w:val="1F3864"/>
          <w:sz w:val="20"/>
        </w:rPr>
        <w:t xml:space="preserve">10. </w:t>
      </w:r>
      <w:r>
        <w:rPr>
          <w:b w:val="0"/>
          <w:i w:val="0"/>
          <w:sz w:val="20"/>
        </w:rPr>
        <w:t>Multi-currency billing schema (GCC+EGP+USD, VAT-ready invoices).</w:t>
      </w:r>
    </w:p>
    <w:p>
      <w:pPr>
        <w:spacing w:after="80"/>
      </w:pPr>
      <w:r>
        <w:rPr>
          <w:b/>
          <w:color w:val="1F3864"/>
          <w:sz w:val="20"/>
        </w:rPr>
        <w:t xml:space="preserve">11. </w:t>
      </w:r>
      <w:r>
        <w:rPr>
          <w:b w:val="0"/>
          <w:i w:val="0"/>
          <w:sz w:val="20"/>
        </w:rPr>
        <w:t>Staff RBAC with self-escalation guard + login revocation on offboard.</w:t>
      </w:r>
    </w:p>
    <w:p>
      <w:pPr>
        <w:spacing w:after="80"/>
      </w:pPr>
      <w:r>
        <w:rPr>
          <w:b/>
          <w:color w:val="1F3864"/>
          <w:sz w:val="20"/>
        </w:rPr>
        <w:t xml:space="preserve">12. </w:t>
      </w:r>
      <w:r>
        <w:rPr>
          <w:b w:val="0"/>
          <w:i w:val="0"/>
          <w:sz w:val="20"/>
        </w:rPr>
        <w:t>Flat, shallow navigation (≤3 clicks) — low cognitive load.</w:t>
      </w:r>
    </w:p>
    <w:p>
      <w:pPr>
        <w:spacing w:before="280" w:after="80"/>
      </w:pPr>
      <w:r>
        <w:rPr>
          <w:b/>
          <w:color w:val="B3261E"/>
          <w:sz w:val="22"/>
        </w:rPr>
        <w:t>Top weaknesses (12 of 20) — impact if unfixed</w:t>
      </w:r>
    </w:p>
    <w:p>
      <w:pPr>
        <w:spacing w:after="40"/>
      </w:pPr>
      <w:r>
        <w:rPr>
          <w:b/>
          <w:sz w:val="20"/>
        </w:rPr>
        <w:t xml:space="preserve">1. No payment gateway — </w:t>
      </w:r>
      <w:r>
        <w:rPr>
          <w:sz w:val="20"/>
        </w:rPr>
        <w:t>can't monetize; manual invoicing only — blocks paid customers.</w:t>
      </w:r>
    </w:p>
    <w:p>
      <w:pPr>
        <w:spacing w:after="40"/>
      </w:pPr>
      <w:r>
        <w:rPr>
          <w:b/>
          <w:sz w:val="20"/>
        </w:rPr>
        <w:t xml:space="preserve">2. No usage/quota enforcement — </w:t>
      </w:r>
      <w:r>
        <w:rPr>
          <w:sz w:val="20"/>
        </w:rPr>
        <w:t>plan limits are cosmetic; revenue leakage + abuse.</w:t>
      </w:r>
    </w:p>
    <w:p>
      <w:pPr>
        <w:spacing w:after="40"/>
      </w:pPr>
      <w:r>
        <w:rPr>
          <w:b/>
          <w:sz w:val="20"/>
        </w:rPr>
        <w:t xml:space="preserve">3. No bulk actions — </w:t>
      </w:r>
      <w:r>
        <w:rPr>
          <w:sz w:val="20"/>
        </w:rPr>
        <w:t>ops don't scale past a few hundred tenants.</w:t>
      </w:r>
    </w:p>
    <w:p>
      <w:pPr>
        <w:spacing w:after="40"/>
      </w:pPr>
      <w:r>
        <w:rPr>
          <w:b/>
          <w:sz w:val="20"/>
        </w:rPr>
        <w:t xml:space="preserve">4. No runtime feature-flag UI — </w:t>
      </w:r>
      <w:r>
        <w:rPr>
          <w:sz w:val="20"/>
        </w:rPr>
        <w:t>every toggle is a deploy; no per-tenant flagging.</w:t>
      </w:r>
    </w:p>
    <w:p>
      <w:pPr>
        <w:spacing w:after="40"/>
      </w:pPr>
      <w:r>
        <w:rPr>
          <w:b/>
          <w:sz w:val="20"/>
        </w:rPr>
        <w:t xml:space="preserve">5. No support center / ticketing — </w:t>
      </w:r>
      <w:r>
        <w:rPr>
          <w:sz w:val="20"/>
        </w:rPr>
        <w:t>support runs out-of-band.</w:t>
      </w:r>
    </w:p>
    <w:p>
      <w:pPr>
        <w:spacing w:after="40"/>
      </w:pPr>
      <w:r>
        <w:rPr>
          <w:b/>
          <w:sz w:val="20"/>
        </w:rPr>
        <w:t xml:space="preserve">6. No owner impersonation — </w:t>
      </w:r>
      <w:r>
        <w:rPr>
          <w:sz w:val="20"/>
        </w:rPr>
        <w:t>can't reproduce a tenant's exact problem; slow support.</w:t>
      </w:r>
    </w:p>
    <w:p>
      <w:pPr>
        <w:spacing w:after="40"/>
      </w:pPr>
      <w:r>
        <w:rPr>
          <w:b/>
          <w:sz w:val="20"/>
        </w:rPr>
        <w:t xml:space="preserve">7. No tenant hard-delete / data erase — </w:t>
      </w:r>
      <w:r>
        <w:rPr>
          <w:sz w:val="20"/>
        </w:rPr>
        <w:t>compliance + cleanup risk.</w:t>
      </w:r>
    </w:p>
    <w:p>
      <w:pPr>
        <w:spacing w:after="40"/>
      </w:pPr>
      <w:r>
        <w:rPr>
          <w:b/>
          <w:sz w:val="20"/>
        </w:rPr>
        <w:t xml:space="preserve">8. No owner-level per-tenant export — </w:t>
      </w:r>
      <w:r>
        <w:rPr>
          <w:sz w:val="20"/>
        </w:rPr>
        <w:t>no offboarding handoff, no on-demand backups.</w:t>
      </w:r>
    </w:p>
    <w:p>
      <w:pPr>
        <w:spacing w:after="40"/>
      </w:pPr>
      <w:r>
        <w:rPr>
          <w:b/>
          <w:sz w:val="20"/>
        </w:rPr>
        <w:t xml:space="preserve">9. Search/list scans capped (~1000 rows) — </w:t>
      </w:r>
      <w:r>
        <w:rPr>
          <w:sz w:val="20"/>
        </w:rPr>
        <w:t>breaks discoverability at 1,000+ tenants.</w:t>
      </w:r>
    </w:p>
    <w:p>
      <w:pPr>
        <w:spacing w:after="40"/>
      </w:pPr>
      <w:r>
        <w:rPr>
          <w:b/>
          <w:sz w:val="20"/>
        </w:rPr>
        <w:t xml:space="preserve">10. No self-serve signup/checkout — </w:t>
      </w:r>
      <w:r>
        <w:rPr>
          <w:sz w:val="20"/>
        </w:rPr>
        <w:t>every tenant is hand-provisioned.</w:t>
      </w:r>
    </w:p>
    <w:p>
      <w:pPr>
        <w:spacing w:after="40"/>
      </w:pPr>
      <w:r>
        <w:rPr>
          <w:b/>
          <w:sz w:val="20"/>
        </w:rPr>
        <w:t xml:space="preserve">11. No per-tenant health/churn score — </w:t>
      </w:r>
      <w:r>
        <w:rPr>
          <w:sz w:val="20"/>
        </w:rPr>
        <w:t>reactive, not predictive.</w:t>
      </w:r>
    </w:p>
    <w:p>
      <w:pPr>
        <w:spacing w:after="40"/>
      </w:pPr>
      <w:r>
        <w:rPr>
          <w:b/>
          <w:sz w:val="20"/>
        </w:rPr>
        <w:t xml:space="preserve">12. No integration marketplace — </w:t>
      </w:r>
      <w:r>
        <w:rPr>
          <w:sz w:val="20"/>
        </w:rPr>
        <w:t>integration work is bespoke.</w:t>
      </w:r>
    </w:p>
    <w:p>
      <w:r>
        <w:br w:type="page"/>
      </w:r>
    </w:p>
    <w:p>
      <w:pPr>
        <w:spacing w:before="280" w:after="80"/>
      </w:pPr>
      <w:r>
        <w:rPr>
          <w:b/>
          <w:color w:val="1F3864"/>
          <w:sz w:val="26"/>
        </w:rPr>
        <w:t>5.  Pilot-Readiness Report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304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Audience</w:t>
            </w:r>
          </w:p>
        </w:tc>
        <w:tc>
          <w:tcPr>
            <w:tcW w:type="dxa" w:w="2448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Verdict</w:t>
            </w:r>
          </w:p>
        </w:tc>
        <w:tc>
          <w:tcPr>
            <w:tcW w:type="dxa" w:w="5328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Blockers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 w:val="0"/>
                <w:sz w:val="17"/>
              </w:rPr>
              <w:t>Internal use</w:t>
            </w:r>
          </w:p>
        </w:tc>
        <w:tc>
          <w:tcPr>
            <w:tcW w:type="dxa" w:w="2448"/>
          </w:tcPr>
          <w:p>
            <w:r/>
            <w:r>
              <w:rPr>
                <w:b/>
                <w:color w:val="1B7F37"/>
                <w:sz w:val="17"/>
              </w:rPr>
              <w:t>Ready</w:t>
            </w:r>
          </w:p>
        </w:tc>
        <w:tc>
          <w:tcPr>
            <w:tcW w:type="dxa" w:w="5328"/>
          </w:tcPr>
          <w:p>
            <w:r/>
            <w:r>
              <w:rPr>
                <w:b w:val="0"/>
                <w:sz w:val="17"/>
              </w:rPr>
              <w:t>None material.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 w:val="0"/>
                <w:sz w:val="17"/>
              </w:rPr>
              <w:t>Pilot customers</w:t>
            </w:r>
          </w:p>
        </w:tc>
        <w:tc>
          <w:tcPr>
            <w:tcW w:type="dxa" w:w="2448"/>
          </w:tcPr>
          <w:p>
            <w:r/>
            <w:r>
              <w:rPr>
                <w:b/>
                <w:color w:val="1B7F37"/>
                <w:sz w:val="17"/>
              </w:rPr>
              <w:t>Ready (vendor-operated)</w:t>
            </w:r>
          </w:p>
        </w:tc>
        <w:tc>
          <w:tcPr>
            <w:tcW w:type="dxa" w:w="5328"/>
          </w:tcPr>
          <w:p>
            <w:r/>
            <w:r>
              <w:rPr>
                <w:b w:val="0"/>
                <w:sz w:val="17"/>
              </w:rPr>
              <w:t>Manual billing OK; owner provisions/suspends; audit + view-as cover support.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 w:val="0"/>
                <w:sz w:val="17"/>
              </w:rPr>
              <w:t>Paid customers</w:t>
            </w:r>
          </w:p>
        </w:tc>
        <w:tc>
          <w:tcPr>
            <w:tcW w:type="dxa" w:w="2448"/>
          </w:tcPr>
          <w:p>
            <w:r/>
            <w:r>
              <w:rPr>
                <w:b/>
                <w:color w:val="B3261E"/>
                <w:sz w:val="17"/>
              </w:rPr>
              <w:t>Not ready</w:t>
            </w:r>
          </w:p>
        </w:tc>
        <w:tc>
          <w:tcPr>
            <w:tcW w:type="dxa" w:w="5328"/>
          </w:tcPr>
          <w:p>
            <w:r/>
            <w:r>
              <w:rPr>
                <w:b w:val="0"/>
                <w:sz w:val="17"/>
              </w:rPr>
              <w:t>Payment gateway, quota enforcement, dunning/expiry automation, basic support workflow.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 w:val="0"/>
                <w:sz w:val="17"/>
              </w:rPr>
              <w:t>Enterprise customers</w:t>
            </w:r>
          </w:p>
        </w:tc>
        <w:tc>
          <w:tcPr>
            <w:tcW w:type="dxa" w:w="2448"/>
          </w:tcPr>
          <w:p>
            <w:r/>
            <w:r>
              <w:rPr>
                <w:b/>
                <w:color w:val="B3261E"/>
                <w:sz w:val="17"/>
              </w:rPr>
              <w:t>Not ready</w:t>
            </w:r>
          </w:p>
        </w:tc>
        <w:tc>
          <w:tcPr>
            <w:tcW w:type="dxa" w:w="5328"/>
          </w:tcPr>
          <w:p>
            <w:r/>
            <w:r>
              <w:rPr>
                <w:b w:val="0"/>
                <w:sz w:val="17"/>
              </w:rPr>
              <w:t>Impersonation+audit, SSO/SCIM, export/erase, bulk ops, SLA/observability, search at scale.</w:t>
            </w:r>
          </w:p>
        </w:tc>
      </w:tr>
    </w:tbl>
    <w:p>
      <w:pPr>
        <w:spacing w:before="280" w:after="80"/>
      </w:pPr>
      <w:r>
        <w:rPr>
          <w:b/>
          <w:color w:val="1F3864"/>
          <w:sz w:val="22"/>
        </w:rPr>
        <w:t>SaaS scale assessment</w:t>
      </w:r>
    </w:p>
    <w:p>
      <w:pPr>
        <w:pStyle w:val="ListBullet"/>
      </w:pPr>
      <w:r>
        <w:rPr>
          <w:color w:val="1B7F37"/>
          <w:sz w:val="20"/>
        </w:rPr>
        <w:t>10 tenants: comfortable.</w:t>
      </w:r>
    </w:p>
    <w:p>
      <w:pPr>
        <w:pStyle w:val="ListBullet"/>
      </w:pPr>
      <w:r>
        <w:rPr>
          <w:color w:val="1B7F37"/>
          <w:sz w:val="20"/>
        </w:rPr>
        <w:t>100: workable; manual billing becomes a chore.</w:t>
      </w:r>
    </w:p>
    <w:p>
      <w:pPr>
        <w:pStyle w:val="ListBullet"/>
      </w:pPr>
      <w:r>
        <w:rPr>
          <w:color w:val="B06A00"/>
          <w:sz w:val="20"/>
        </w:rPr>
        <w:t>1,000: list/search scan caps, no bulk ops, manual invoicing become real bottlenecks.</w:t>
      </w:r>
    </w:p>
    <w:p>
      <w:pPr>
        <w:pStyle w:val="ListBullet"/>
      </w:pPr>
      <w:r>
        <w:rPr>
          <w:color w:val="B3261E"/>
          <w:sz w:val="20"/>
        </w:rPr>
        <w:t>10,000: requires metering, automated billing/dunning, bulk ops, search indexing, queue-based provisioning, per-tenant observability.</w:t>
      </w:r>
    </w:p>
    <w:p>
      <w:pPr>
        <w:spacing w:before="280" w:after="80"/>
      </w:pPr>
      <w:r>
        <w:rPr>
          <w:b/>
          <w:color w:val="1F3864"/>
          <w:sz w:val="26"/>
        </w:rPr>
        <w:t>6.  Missing Capabilities (verified present/absent)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3456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Capability</w:t>
            </w:r>
          </w:p>
        </w:tc>
        <w:tc>
          <w:tcPr>
            <w:tcW w:type="dxa" w:w="2304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440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1008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Cplx</w:t>
            </w:r>
          </w:p>
        </w:tc>
        <w:tc>
          <w:tcPr>
            <w:tcW w:type="dxa" w:w="1440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Priority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7"/>
              </w:rPr>
              <w:t>Global Search</w:t>
            </w:r>
          </w:p>
        </w:tc>
        <w:tc>
          <w:tcPr>
            <w:tcW w:type="dxa" w:w="2304"/>
          </w:tcPr>
          <w:p>
            <w:r/>
            <w:r>
              <w:rPr>
                <w:b/>
                <w:color w:val="1B7F37"/>
                <w:sz w:val="17"/>
              </w:rPr>
              <w:t>Present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1008"/>
          </w:tcPr>
          <w:p>
            <w:r/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7"/>
              </w:rPr>
              <w:t>—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7"/>
              </w:rPr>
              <w:t>Tenant Health Dashboard</w:t>
            </w:r>
          </w:p>
        </w:tc>
        <w:tc>
          <w:tcPr>
            <w:tcW w:type="dxa" w:w="2304"/>
          </w:tcPr>
          <w:p>
            <w:r/>
            <w:r>
              <w:rPr>
                <w:b/>
                <w:color w:val="B06A00"/>
                <w:sz w:val="17"/>
              </w:rPr>
              <w:t>Partial (Overview)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7"/>
              </w:rPr>
              <w:t>High</w:t>
            </w:r>
          </w:p>
        </w:tc>
        <w:tc>
          <w:tcPr>
            <w:tcW w:type="dxa" w:w="1008"/>
          </w:tcPr>
          <w:p>
            <w:r/>
            <w:r>
              <w:rPr>
                <w:b w:val="0"/>
                <w:sz w:val="17"/>
              </w:rPr>
              <w:t>M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7"/>
              </w:rPr>
              <w:t>B (deepen)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7"/>
              </w:rPr>
              <w:t>Integration Health</w:t>
            </w:r>
          </w:p>
        </w:tc>
        <w:tc>
          <w:tcPr>
            <w:tcW w:type="dxa" w:w="2304"/>
          </w:tcPr>
          <w:p>
            <w:r/>
            <w:r>
              <w:rPr>
                <w:b/>
                <w:color w:val="1B7F37"/>
                <w:sz w:val="17"/>
              </w:rPr>
              <w:t>Present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7"/>
              </w:rPr>
              <w:t>Med</w:t>
            </w:r>
          </w:p>
        </w:tc>
        <w:tc>
          <w:tcPr>
            <w:tcW w:type="dxa" w:w="1008"/>
          </w:tcPr>
          <w:p>
            <w:r/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7"/>
              </w:rPr>
              <w:t>—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7"/>
              </w:rPr>
              <w:t>System Alerts</w:t>
            </w:r>
          </w:p>
        </w:tc>
        <w:tc>
          <w:tcPr>
            <w:tcW w:type="dxa" w:w="2304"/>
          </w:tcPr>
          <w:p>
            <w:r/>
            <w:r>
              <w:rPr>
                <w:b/>
                <w:color w:val="1B7F37"/>
                <w:sz w:val="17"/>
              </w:rPr>
              <w:t>Present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7"/>
              </w:rPr>
              <w:t>Med</w:t>
            </w:r>
          </w:p>
        </w:tc>
        <w:tc>
          <w:tcPr>
            <w:tcW w:type="dxa" w:w="1008"/>
          </w:tcPr>
          <w:p>
            <w:r/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7"/>
              </w:rPr>
              <w:t>—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7"/>
              </w:rPr>
              <w:t>View-As preview</w:t>
            </w:r>
          </w:p>
        </w:tc>
        <w:tc>
          <w:tcPr>
            <w:tcW w:type="dxa" w:w="2304"/>
          </w:tcPr>
          <w:p>
            <w:r/>
            <w:r>
              <w:rPr>
                <w:b/>
                <w:color w:val="1B7F37"/>
                <w:sz w:val="17"/>
              </w:rPr>
              <w:t>Present (read-only)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7"/>
              </w:rPr>
              <w:t>Med</w:t>
            </w:r>
          </w:p>
        </w:tc>
        <w:tc>
          <w:tcPr>
            <w:tcW w:type="dxa" w:w="1008"/>
          </w:tcPr>
          <w:p>
            <w:r/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7"/>
              </w:rPr>
              <w:t>—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7"/>
              </w:rPr>
              <w:t>Payment gateway / checkout</w:t>
            </w:r>
          </w:p>
        </w:tc>
        <w:tc>
          <w:tcPr>
            <w:tcW w:type="dxa" w:w="2304"/>
          </w:tcPr>
          <w:p>
            <w:r/>
            <w:r>
              <w:rPr>
                <w:b/>
                <w:color w:val="B3261E"/>
                <w:sz w:val="17"/>
              </w:rPr>
              <w:t>Absent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7"/>
              </w:rPr>
              <w:t>Very high</w:t>
            </w:r>
          </w:p>
        </w:tc>
        <w:tc>
          <w:tcPr>
            <w:tcW w:type="dxa" w:w="1008"/>
          </w:tcPr>
          <w:p>
            <w:r/>
            <w:r>
              <w:rPr>
                <w:b w:val="0"/>
                <w:sz w:val="17"/>
              </w:rPr>
              <w:t>L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7"/>
              </w:rPr>
              <w:t>B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7"/>
              </w:rPr>
              <w:t>Usage/quota enforcement</w:t>
            </w:r>
          </w:p>
        </w:tc>
        <w:tc>
          <w:tcPr>
            <w:tcW w:type="dxa" w:w="2304"/>
          </w:tcPr>
          <w:p>
            <w:r/>
            <w:r>
              <w:rPr>
                <w:b/>
                <w:color w:val="B3261E"/>
                <w:sz w:val="17"/>
              </w:rPr>
              <w:t>Absent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7"/>
              </w:rPr>
              <w:t>High</w:t>
            </w:r>
          </w:p>
        </w:tc>
        <w:tc>
          <w:tcPr>
            <w:tcW w:type="dxa" w:w="1008"/>
          </w:tcPr>
          <w:p>
            <w:r/>
            <w:r>
              <w:rPr>
                <w:b w:val="0"/>
                <w:sz w:val="17"/>
              </w:rPr>
              <w:t>M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7"/>
              </w:rPr>
              <w:t>B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7"/>
              </w:rPr>
              <w:t>Impersonation ("act as")</w:t>
            </w:r>
          </w:p>
        </w:tc>
        <w:tc>
          <w:tcPr>
            <w:tcW w:type="dxa" w:w="2304"/>
          </w:tcPr>
          <w:p>
            <w:r/>
            <w:r>
              <w:rPr>
                <w:b/>
                <w:color w:val="B3261E"/>
                <w:sz w:val="17"/>
              </w:rPr>
              <w:t>Absent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7"/>
              </w:rPr>
              <w:t>High</w:t>
            </w:r>
          </w:p>
        </w:tc>
        <w:tc>
          <w:tcPr>
            <w:tcW w:type="dxa" w:w="1008"/>
          </w:tcPr>
          <w:p>
            <w:r/>
            <w:r>
              <w:rPr>
                <w:b w:val="0"/>
                <w:sz w:val="17"/>
              </w:rPr>
              <w:t>M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7"/>
              </w:rPr>
              <w:t>B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7"/>
              </w:rPr>
              <w:t>Feature-flag manager (runtime)</w:t>
            </w:r>
          </w:p>
        </w:tc>
        <w:tc>
          <w:tcPr>
            <w:tcW w:type="dxa" w:w="2304"/>
          </w:tcPr>
          <w:p>
            <w:r/>
            <w:r>
              <w:rPr>
                <w:b/>
                <w:color w:val="B3261E"/>
                <w:sz w:val="17"/>
              </w:rPr>
              <w:t>Absent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7"/>
              </w:rPr>
              <w:t>High</w:t>
            </w:r>
          </w:p>
        </w:tc>
        <w:tc>
          <w:tcPr>
            <w:tcW w:type="dxa" w:w="1008"/>
          </w:tcPr>
          <w:p>
            <w:r/>
            <w:r>
              <w:rPr>
                <w:b w:val="0"/>
                <w:sz w:val="17"/>
              </w:rPr>
              <w:t>M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7"/>
              </w:rPr>
              <w:t>B/C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7"/>
              </w:rPr>
              <w:t>Support Center / tickets</w:t>
            </w:r>
          </w:p>
        </w:tc>
        <w:tc>
          <w:tcPr>
            <w:tcW w:type="dxa" w:w="2304"/>
          </w:tcPr>
          <w:p>
            <w:r/>
            <w:r>
              <w:rPr>
                <w:b/>
                <w:color w:val="B3261E"/>
                <w:sz w:val="17"/>
              </w:rPr>
              <w:t>Absent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7"/>
              </w:rPr>
              <w:t>High</w:t>
            </w:r>
          </w:p>
        </w:tc>
        <w:tc>
          <w:tcPr>
            <w:tcW w:type="dxa" w:w="1008"/>
          </w:tcPr>
          <w:p>
            <w:r/>
            <w:r>
              <w:rPr>
                <w:b w:val="0"/>
                <w:sz w:val="17"/>
              </w:rPr>
              <w:t>M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7"/>
              </w:rPr>
              <w:t>C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7"/>
              </w:rPr>
              <w:t>Bulk actions</w:t>
            </w:r>
          </w:p>
        </w:tc>
        <w:tc>
          <w:tcPr>
            <w:tcW w:type="dxa" w:w="2304"/>
          </w:tcPr>
          <w:p>
            <w:r/>
            <w:r>
              <w:rPr>
                <w:b/>
                <w:color w:val="B3261E"/>
                <w:sz w:val="17"/>
              </w:rPr>
              <w:t>Absent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7"/>
              </w:rPr>
              <w:t>High</w:t>
            </w:r>
          </w:p>
        </w:tc>
        <w:tc>
          <w:tcPr>
            <w:tcW w:type="dxa" w:w="1008"/>
          </w:tcPr>
          <w:p>
            <w:r/>
            <w:r>
              <w:rPr>
                <w:b w:val="0"/>
                <w:sz w:val="17"/>
              </w:rPr>
              <w:t>M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7"/>
              </w:rPr>
              <w:t>C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7"/>
              </w:rPr>
              <w:t>Owner per-tenant export/erase</w:t>
            </w:r>
          </w:p>
        </w:tc>
        <w:tc>
          <w:tcPr>
            <w:tcW w:type="dxa" w:w="2304"/>
          </w:tcPr>
          <w:p>
            <w:r/>
            <w:r>
              <w:rPr>
                <w:b/>
                <w:color w:val="B3261E"/>
                <w:sz w:val="17"/>
              </w:rPr>
              <w:t>Absent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7"/>
              </w:rPr>
              <w:t>High</w:t>
            </w:r>
          </w:p>
        </w:tc>
        <w:tc>
          <w:tcPr>
            <w:tcW w:type="dxa" w:w="1008"/>
          </w:tcPr>
          <w:p>
            <w:r/>
            <w:r>
              <w:rPr>
                <w:b w:val="0"/>
                <w:sz w:val="17"/>
              </w:rPr>
              <w:t>M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7"/>
              </w:rPr>
              <w:t>C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7"/>
              </w:rPr>
              <w:t>Quick Actions / command palette</w:t>
            </w:r>
          </w:p>
        </w:tc>
        <w:tc>
          <w:tcPr>
            <w:tcW w:type="dxa" w:w="2304"/>
          </w:tcPr>
          <w:p>
            <w:r/>
            <w:r>
              <w:rPr>
                <w:b/>
                <w:color w:val="B3261E"/>
                <w:sz w:val="17"/>
              </w:rPr>
              <w:t>Absent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7"/>
              </w:rPr>
              <w:t>Med</w:t>
            </w:r>
          </w:p>
        </w:tc>
        <w:tc>
          <w:tcPr>
            <w:tcW w:type="dxa" w:w="1008"/>
          </w:tcPr>
          <w:p>
            <w:r/>
            <w:r>
              <w:rPr>
                <w:b w:val="0"/>
                <w:sz w:val="17"/>
              </w:rPr>
              <w:t>S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7"/>
              </w:rPr>
              <w:t>C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7"/>
              </w:rPr>
              <w:t>Self-serve signup/onboarding</w:t>
            </w:r>
          </w:p>
        </w:tc>
        <w:tc>
          <w:tcPr>
            <w:tcW w:type="dxa" w:w="2304"/>
          </w:tcPr>
          <w:p>
            <w:r/>
            <w:r>
              <w:rPr>
                <w:b/>
                <w:color w:val="B3261E"/>
                <w:sz w:val="17"/>
              </w:rPr>
              <w:t>Absent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7"/>
              </w:rPr>
              <w:t>High</w:t>
            </w:r>
          </w:p>
        </w:tc>
        <w:tc>
          <w:tcPr>
            <w:tcW w:type="dxa" w:w="1008"/>
          </w:tcPr>
          <w:p>
            <w:r/>
            <w:r>
              <w:rPr>
                <w:b w:val="0"/>
                <w:sz w:val="17"/>
              </w:rPr>
              <w:t>L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7"/>
              </w:rPr>
              <w:t>C/D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7"/>
              </w:rPr>
              <w:t>SSO/SCIM, SLA/observability</w:t>
            </w:r>
          </w:p>
        </w:tc>
        <w:tc>
          <w:tcPr>
            <w:tcW w:type="dxa" w:w="2304"/>
          </w:tcPr>
          <w:p>
            <w:r/>
            <w:r>
              <w:rPr>
                <w:b/>
                <w:color w:val="B3261E"/>
                <w:sz w:val="17"/>
              </w:rPr>
              <w:t>Absent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7"/>
              </w:rPr>
              <w:t>High</w:t>
            </w:r>
          </w:p>
        </w:tc>
        <w:tc>
          <w:tcPr>
            <w:tcW w:type="dxa" w:w="1008"/>
          </w:tcPr>
          <w:p>
            <w:r/>
            <w:r>
              <w:rPr>
                <w:b w:val="0"/>
                <w:sz w:val="17"/>
              </w:rPr>
              <w:t>L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7"/>
              </w:rPr>
              <w:t>D</w:t>
            </w:r>
          </w:p>
        </w:tc>
      </w:tr>
    </w:tbl>
    <w:p>
      <w:pPr>
        <w:spacing w:before="280" w:after="80"/>
      </w:pPr>
      <w:r>
        <w:rPr>
          <w:b/>
          <w:color w:val="1F3864"/>
          <w:sz w:val="26"/>
        </w:rPr>
        <w:t>7.  Platform Owner Scorecard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2016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Score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7"/>
              </w:rPr>
              <w:t>Usability</w:t>
            </w:r>
          </w:p>
        </w:tc>
        <w:tc>
          <w:tcPr>
            <w:tcW w:type="dxa" w:w="2016"/>
          </w:tcPr>
          <w:p>
            <w:r/>
            <w:r>
              <w:rPr>
                <w:b/>
                <w:color w:val="1B7F37"/>
                <w:sz w:val="17"/>
              </w:rPr>
              <w:t>7 / 10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7"/>
              </w:rPr>
              <w:t>Navigation</w:t>
            </w:r>
          </w:p>
        </w:tc>
        <w:tc>
          <w:tcPr>
            <w:tcW w:type="dxa" w:w="2016"/>
          </w:tcPr>
          <w:p>
            <w:r/>
            <w:r>
              <w:rPr>
                <w:b/>
                <w:color w:val="1B7F37"/>
                <w:sz w:val="17"/>
              </w:rPr>
              <w:t>7 / 10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7"/>
              </w:rPr>
              <w:t>Scalability</w:t>
            </w:r>
          </w:p>
        </w:tc>
        <w:tc>
          <w:tcPr>
            <w:tcW w:type="dxa" w:w="2016"/>
          </w:tcPr>
          <w:p>
            <w:r/>
            <w:r>
              <w:rPr>
                <w:b/>
                <w:color w:val="B06A00"/>
                <w:sz w:val="17"/>
              </w:rPr>
              <w:t>5 / 10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7"/>
              </w:rPr>
              <w:t>Security</w:t>
            </w:r>
          </w:p>
        </w:tc>
        <w:tc>
          <w:tcPr>
            <w:tcW w:type="dxa" w:w="2016"/>
          </w:tcPr>
          <w:p>
            <w:r/>
            <w:r>
              <w:rPr>
                <w:b/>
                <w:color w:val="1B7F37"/>
                <w:sz w:val="17"/>
              </w:rPr>
              <w:t>8 / 10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7"/>
              </w:rPr>
              <w:t>SaaS Readiness</w:t>
            </w:r>
          </w:p>
        </w:tc>
        <w:tc>
          <w:tcPr>
            <w:tcW w:type="dxa" w:w="2016"/>
          </w:tcPr>
          <w:p>
            <w:r/>
            <w:r>
              <w:rPr>
                <w:b/>
                <w:color w:val="B06A00"/>
                <w:sz w:val="17"/>
              </w:rPr>
              <w:t>6 / 10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7"/>
              </w:rPr>
              <w:t>Operational Efficiency</w:t>
            </w:r>
          </w:p>
        </w:tc>
        <w:tc>
          <w:tcPr>
            <w:tcW w:type="dxa" w:w="2016"/>
          </w:tcPr>
          <w:p>
            <w:r/>
            <w:r>
              <w:rPr>
                <w:b/>
                <w:color w:val="B06A00"/>
                <w:sz w:val="17"/>
              </w:rPr>
              <w:t>6 / 10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7"/>
              </w:rPr>
              <w:t>Multi-Tenant Management</w:t>
            </w:r>
          </w:p>
        </w:tc>
        <w:tc>
          <w:tcPr>
            <w:tcW w:type="dxa" w:w="2016"/>
          </w:tcPr>
          <w:p>
            <w:r/>
            <w:r>
              <w:rPr>
                <w:b/>
                <w:color w:val="1B7F37"/>
                <w:sz w:val="17"/>
              </w:rPr>
              <w:t>7 / 10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7"/>
              </w:rPr>
              <w:t>Subscription Management</w:t>
            </w:r>
          </w:p>
        </w:tc>
        <w:tc>
          <w:tcPr>
            <w:tcW w:type="dxa" w:w="2016"/>
          </w:tcPr>
          <w:p>
            <w:r/>
            <w:r>
              <w:rPr>
                <w:b/>
                <w:color w:val="B06A00"/>
                <w:sz w:val="17"/>
              </w:rPr>
              <w:t>6 / 10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7"/>
              </w:rPr>
              <w:t>Supportability</w:t>
            </w:r>
          </w:p>
        </w:tc>
        <w:tc>
          <w:tcPr>
            <w:tcW w:type="dxa" w:w="2016"/>
          </w:tcPr>
          <w:p>
            <w:r/>
            <w:r>
              <w:rPr>
                <w:b/>
                <w:color w:val="B3261E"/>
                <w:sz w:val="17"/>
              </w:rPr>
              <w:t>4 / 10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7"/>
              </w:rPr>
              <w:t>Competitive Positioning</w:t>
            </w:r>
          </w:p>
        </w:tc>
        <w:tc>
          <w:tcPr>
            <w:tcW w:type="dxa" w:w="2016"/>
          </w:tcPr>
          <w:p>
            <w:r/>
            <w:r>
              <w:rPr>
                <w:b/>
                <w:color w:val="B06A00"/>
                <w:sz w:val="17"/>
              </w:rPr>
              <w:t>5 / 10</w:t>
            </w:r>
          </w:p>
        </w:tc>
      </w:tr>
    </w:tbl>
    <w:p>
      <w:pPr>
        <w:spacing w:before="80"/>
      </w:pPr>
      <w:r>
        <w:rPr>
          <w:b/>
          <w:color w:val="1F3864"/>
          <w:sz w:val="28"/>
        </w:rPr>
        <w:t>Overall: 6.1 / 10</w:t>
      </w:r>
    </w:p>
    <w:p>
      <w:r>
        <w:br w:type="page"/>
      </w:r>
    </w:p>
    <w:p>
      <w:pPr>
        <w:spacing w:before="280" w:after="80"/>
      </w:pPr>
      <w:r>
        <w:rPr>
          <w:b/>
          <w:color w:val="1F3864"/>
          <w:sz w:val="26"/>
        </w:rPr>
        <w:t>8.  Recommended Navigation Tree</w:t>
      </w:r>
    </w:p>
    <w:p>
      <w:pPr>
        <w:spacing w:after="80"/>
      </w:pPr>
      <w:r>
        <w:rPr>
          <w:b w:val="0"/>
          <w:i w:val="0"/>
          <w:sz w:val="20"/>
        </w:rPr>
        <w:t>Consolidate the flat 12-item list into 5 intent-based groups, fold low-value/niche items, and add the missing control surfaces as first-class entries (new/extended items marked ←).</w:t>
      </w:r>
    </w:p>
    <w:p>
      <w:r>
        <w:rPr>
          <w:rFonts w:ascii="Consolas" w:hAnsi="Consolas"/>
          <w:sz w:val="17"/>
        </w:rPr>
        <w:t>Provider</w:t>
        <w:br/>
        <w:t>├─ Home              /platform            (Overview + attention center + command palette ⌘K)</w:t>
        <w:br/>
        <w:t>├─ Tenants</w:t>
        <w:br/>
        <w:t>│   ├─ Companies     /platform/companies  (list → 360; + bulk actions, health score)</w:t>
        <w:br/>
        <w:t>│   └─ Onboarding    /platform/onboarding (provisioning queue / self-serve approvals)   ← new</w:t>
        <w:br/>
        <w:t>├─ Catalog</w:t>
        <w:br/>
        <w:t>│   ├─ Plans &amp; Modules /platform/plans</w:t>
        <w:br/>
        <w:t>│   └─ Roles          /platform/roles</w:t>
        <w:br/>
        <w:t>├─ Revenue</w:t>
        <w:br/>
        <w:t>│   ├─ Subscriptions  /platform/billing/subscriptions</w:t>
        <w:br/>
        <w:t>│   ├─ Invoices       /platform/billing/invoices</w:t>
        <w:br/>
        <w:t>│   └─ Price Book     /platform/billing/pricing   (gateway + dunning)                   ← extend</w:t>
        <w:br/>
        <w:t>├─ Operations</w:t>
        <w:br/>
        <w:t>│   ├─ Audit          /platform/audit</w:t>
        <w:br/>
        <w:t>│   ├─ Activity       /platform/activity</w:t>
        <w:br/>
        <w:t>│   ├─ Integrations   /platform/integrations (health + connectors)                      ← elevate</w:t>
        <w:br/>
        <w:t>│   ├─ Feature Flags  /platform/flags        (runtime/per-tenant)                        ← new</w:t>
        <w:br/>
        <w:t>│   └─ Support        /platform/support      (tickets + impersonation launch)           ← new</w:t>
        <w:br/>
        <w:t>└─ Settings</w:t>
        <w:br/>
        <w:t xml:space="preserve">    ├─ Platform Staff /platform/staff</w:t>
        <w:br/>
        <w:t xml:space="preserve">    └─ Reference data /platform/reference    (Drugs etc., folded)</w:t>
      </w:r>
    </w:p>
    <w:p>
      <w:pPr>
        <w:spacing w:after="80"/>
      </w:pPr>
      <w:r>
        <w:rPr>
          <w:b w:val="0"/>
          <w:i/>
          <w:sz w:val="19"/>
        </w:rPr>
        <w:t>Keeps depth ≤3, surfaces the missing capabilities where owners expect them, and demotes niche/reference screens.</w:t>
      </w:r>
    </w:p>
    <w:p>
      <w:pPr>
        <w:spacing w:before="280" w:after="80"/>
      </w:pPr>
      <w:r>
        <w:rPr>
          <w:b/>
          <w:color w:val="1F3864"/>
          <w:sz w:val="26"/>
        </w:rPr>
        <w:t>9.  Prioritized Roadmap (by business impact)</w:t>
      </w:r>
    </w:p>
    <w:p>
      <w:pPr>
        <w:spacing w:before="120"/>
      </w:pPr>
      <w:r>
        <w:rPr>
          <w:b/>
          <w:color w:val="1B7F37"/>
          <w:sz w:val="22"/>
        </w:rPr>
        <w:t>Phase A — Must fix before pilot</w:t>
      </w:r>
    </w:p>
    <w:p>
      <w:pPr>
        <w:pStyle w:val="ListBullet"/>
        <w:spacing w:after="40"/>
      </w:pPr>
      <w:r>
        <w:rPr>
          <w:sz w:val="20"/>
        </w:rPr>
        <w:t>Nothing blocking. Polish only — add a command palette (⌘K); confirm Overview attention thresholds. Pilots can run vendor-operated today.</w:t>
      </w:r>
    </w:p>
    <w:p>
      <w:pPr>
        <w:spacing w:before="120"/>
      </w:pPr>
      <w:r>
        <w:rPr>
          <w:b/>
          <w:color w:val="B06A00"/>
          <w:sz w:val="22"/>
        </w:rPr>
        <w:t>Phase B — Must fix before first paying customer</w:t>
      </w:r>
    </w:p>
    <w:p>
      <w:pPr>
        <w:pStyle w:val="ListBullet"/>
        <w:spacing w:after="40"/>
      </w:pPr>
      <w:r>
        <w:rPr>
          <w:sz w:val="20"/>
        </w:rPr>
        <w:t>Payment gateway + checkout (charge cards against existing invoices).</w:t>
      </w:r>
    </w:p>
    <w:p>
      <w:pPr>
        <w:pStyle w:val="ListBullet"/>
        <w:spacing w:after="40"/>
      </w:pPr>
      <w:r>
        <w:rPr>
          <w:sz w:val="20"/>
        </w:rPr>
        <w:t>Subscription automation — auto-expire/suspend on period end, dunning, proration (schema is proration-ready).</w:t>
      </w:r>
    </w:p>
    <w:p>
      <w:pPr>
        <w:pStyle w:val="ListBullet"/>
        <w:spacing w:after="40"/>
      </w:pPr>
      <w:r>
        <w:rPr>
          <w:sz w:val="20"/>
        </w:rPr>
        <w:t>Usage/quota enforcement — wire limit_value/limit_period + plan max_* into runtime guards.</w:t>
      </w:r>
    </w:p>
    <w:p>
      <w:pPr>
        <w:pStyle w:val="ListBullet"/>
        <w:spacing w:after="40"/>
      </w:pPr>
      <w:r>
        <w:rPr>
          <w:sz w:val="20"/>
        </w:rPr>
        <w:t>Owner impersonation ("act as", short-TTL, audited — extend the recon-worker mechanism) for viable support.</w:t>
      </w:r>
    </w:p>
    <w:p>
      <w:pPr>
        <w:spacing w:before="120"/>
      </w:pPr>
      <w:r>
        <w:rPr>
          <w:b/>
          <w:color w:val="B06A00"/>
          <w:sz w:val="22"/>
        </w:rPr>
        <w:t>Phase C — Must fix before 100 companies</w:t>
      </w:r>
    </w:p>
    <w:p>
      <w:pPr>
        <w:pStyle w:val="ListBullet"/>
        <w:spacing w:after="40"/>
      </w:pPr>
      <w:r>
        <w:rPr>
          <w:sz w:val="20"/>
        </w:rPr>
        <w:t>Bulk actions (suspend/extend/entitle across selected tenants).</w:t>
      </w:r>
    </w:p>
    <w:p>
      <w:pPr>
        <w:pStyle w:val="ListBullet"/>
        <w:spacing w:after="40"/>
      </w:pPr>
      <w:r>
        <w:rPr>
          <w:sz w:val="20"/>
        </w:rPr>
        <w:t>Support center (tickets tied to tenant + impersonation launch).</w:t>
      </w:r>
    </w:p>
    <w:p>
      <w:pPr>
        <w:pStyle w:val="ListBullet"/>
        <w:spacing w:after="40"/>
      </w:pPr>
      <w:r>
        <w:rPr>
          <w:sz w:val="20"/>
        </w:rPr>
        <w:t>Runtime feature-flag manager (DB-backed, per-tenant overrides).</w:t>
      </w:r>
    </w:p>
    <w:p>
      <w:pPr>
        <w:pStyle w:val="ListBullet"/>
        <w:spacing w:after="40"/>
      </w:pPr>
      <w:r>
        <w:rPr>
          <w:sz w:val="20"/>
        </w:rPr>
        <w:t>Owner per-tenant export/erase (offboarding + GDPR).</w:t>
      </w:r>
    </w:p>
    <w:p>
      <w:pPr>
        <w:pStyle w:val="ListBullet"/>
        <w:spacing w:after="40"/>
      </w:pPr>
      <w:r>
        <w:rPr>
          <w:sz w:val="20"/>
        </w:rPr>
        <w:t>Search/list at scale (indexed cross-tenant search; remove 1000-row caps).</w:t>
      </w:r>
    </w:p>
    <w:p>
      <w:pPr>
        <w:spacing w:before="120"/>
      </w:pPr>
      <w:r>
        <w:rPr>
          <w:b/>
          <w:color w:val="B3261E"/>
          <w:sz w:val="22"/>
        </w:rPr>
        <w:t>Phase D — Enterprise scale</w:t>
      </w:r>
    </w:p>
    <w:p>
      <w:pPr>
        <w:pStyle w:val="ListBullet"/>
        <w:spacing w:after="40"/>
      </w:pPr>
      <w:r>
        <w:rPr>
          <w:sz w:val="20"/>
        </w:rPr>
        <w:t>Self-serve signup/onboarding queue; SSO/SCIM; per-tenant observability &amp; SLA dashboards; integration marketplace; data residency; advanced platform-staff RBAC.</w:t>
      </w:r>
    </w:p>
    <w:p>
      <w:pPr>
        <w:spacing w:before="160"/>
      </w:pPr>
      <w:r>
        <w:rPr>
          <w:b/>
          <w:color w:val="1F3864"/>
          <w:sz w:val="21"/>
        </w:rPr>
        <w:t xml:space="preserve">Bottom line: </w:t>
      </w:r>
      <w:r>
        <w:rPr>
          <w:sz w:val="21"/>
        </w:rPr>
        <w:t>VANTORA's Platform Owner console is a well-architected, secure, product-grade foundation — pilot-ready now and ~2 focused milestones (Phase B) from its first paying customer. Highest-leverage investment: monetization (gateway + automated subscriptions + quota enforcement), then impersonation + support.</w:t>
      </w:r>
    </w:p>
    <w:p/>
    <w:p>
      <w:r>
        <w:rPr>
          <w:i/>
          <w:color w:val="555555"/>
          <w:sz w:val="18"/>
        </w:rPr>
        <w:t>Assessment only — no code changed. Findings cite the actual implementation (files/migrations) on the reviewed branch.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