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Administrator Guide</w:t>
      </w:r>
    </w:p>
    <w:p>
      <w:pPr>
        <w:jc w:val="center"/>
      </w:pPr>
      <w:r>
        <w:rPr>
          <w:color w:val="555555"/>
          <w:sz w:val="24"/>
        </w:rPr>
        <w:t>Configuring &amp; Operating a VANTORA Tenant</w:t>
      </w:r>
    </w:p>
    <w:p/>
    <w:p>
      <w:pPr>
        <w:jc w:val="center"/>
      </w:pPr>
      <w:r>
        <w:rPr>
          <w:i/>
          <w:color w:val="555555"/>
          <w:sz w:val="18"/>
        </w:rPr>
        <w:t>VANTORA Handbook — Admin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Administrator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74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Built and in the codebase; lightly exercised</w:t>
            </w:r>
          </w:p>
        </w:tc>
      </w:tr>
      <w:tr>
        <w:tc>
          <w:tcPr>
            <w:tcW w:type="dxa" w:w="2304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Complete and validated on demo tenants; usable in a controlled pilot</w:t>
            </w:r>
          </w:p>
        </w:tc>
      </w:tr>
      <w:tr>
        <w:tc>
          <w:tcPr>
            <w:tcW w:type="dxa" w:w="2304"/>
            <w:shd w:val="clear" w:color="auto" w:fill="E5F2E9"/>
          </w:tcPr>
          <w:p>
            <w:r/>
            <w:r>
              <w:rPr>
                <w:sz w:val="17"/>
              </w:rPr>
              <w:t>Production Ready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Hardened and data-proven for production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Roadmap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Planned; not yet built</w:t>
            </w:r>
          </w:p>
        </w:tc>
      </w:tr>
      <w:tr>
        <w:tc>
          <w:tcPr>
            <w:tcW w:type="dxa" w:w="2304"/>
            <w:shd w:val="clear" w:color="auto" w:fill="F8E3E3"/>
          </w:tcPr>
          <w:p>
            <w:r/>
            <w:r>
              <w:rPr>
                <w:sz w:val="17"/>
              </w:rPr>
              <w:t>Gap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Known missing capability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1F2A44"/>
          <w:sz w:val="25"/>
        </w:rPr>
        <w:t>Users &amp; Staff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Create and manage the people who log in.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Settings → Staff/Users (super-admin for Users/Permissions).</w:t>
      </w:r>
    </w:p>
    <w:p>
      <w:pPr>
        <w:pStyle w:val="ListNumber"/>
      </w:pPr>
      <w:r>
        <w:rPr>
          <w:color w:val="1A1A1A"/>
          <w:sz w:val="19"/>
        </w:rPr>
        <w:t>Invite/create a staff member; assign a role &amp; branches.</w:t>
      </w:r>
    </w:p>
    <w:p>
      <w:pPr>
        <w:pStyle w:val="ListNumber"/>
      </w:pPr>
      <w:r>
        <w:rPr>
          <w:color w:val="1A1A1A"/>
          <w:sz w:val="19"/>
        </w:rPr>
        <w:t>Set active/approved; the server enforces their permissions.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Least privilege; never share the admin login; rotate credentials.</w:t>
      </w:r>
    </w:p>
    <w:p>
      <w:pPr>
        <w:pStyle w:val="Heading2"/>
      </w:pPr>
      <w:r>
        <w:rPr>
          <w:b/>
          <w:color w:val="1F2A44"/>
          <w:sz w:val="25"/>
        </w:rPr>
        <w:t>Roles &amp; Permissions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Map the 90 permissions to roles, with per-company overrides.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Settings → Permissions / Authz console.</w:t>
      </w:r>
    </w:p>
    <w:p>
      <w:pPr>
        <w:pStyle w:val="ListNumber"/>
      </w:pPr>
      <w:r>
        <w:rPr>
          <w:color w:val="1A1A1A"/>
          <w:sz w:val="19"/>
        </w:rPr>
        <w:t>Adjust company role permissions or grant overrides.</w:t>
      </w:r>
    </w:p>
    <w:p>
      <w:pPr>
        <w:pStyle w:val="ListNumber"/>
      </w:pPr>
      <w:r>
        <w:rPr>
          <w:color w:val="1A1A1A"/>
          <w:sz w:val="19"/>
        </w:rPr>
        <w:t>Use temporary-access grants for time-boxed elevation.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Document each role; review quarterly; prefer overrides to broad roles.</w:t>
      </w:r>
    </w:p>
    <w:p>
      <w:pPr>
        <w:pStyle w:val="Heading2"/>
      </w:pPr>
      <w:r>
        <w:rPr>
          <w:b/>
          <w:color w:val="1F2A44"/>
          <w:sz w:val="25"/>
        </w:rPr>
        <w:t>Feature Flags &amp; Business Types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Toggle tenant capabilities; pick the industry pack.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Settings → Features: apply a template (Lite/Standard/Enterprise) then fine-tune.</w:t>
      </w:r>
    </w:p>
    <w:p>
      <w:pPr>
        <w:pStyle w:val="ListNumber"/>
      </w:pPr>
      <w:r>
        <w:rPr>
          <w:color w:val="1A1A1A"/>
          <w:sz w:val="19"/>
        </w:rPr>
        <w:t>Set the company business type to drive the pack.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Start from a template; enable only what's used; flags hide disabled features end-to-end.</w:t>
      </w:r>
    </w:p>
    <w:p>
      <w:pPr>
        <w:pStyle w:val="Heading2"/>
      </w:pPr>
      <w:r>
        <w:rPr>
          <w:b/>
          <w:color w:val="1F2A44"/>
          <w:sz w:val="25"/>
        </w:rPr>
        <w:t>Plans, Modules &amp; Marketplace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/ Pilot Ready</w:t>
      </w:r>
    </w:p>
    <w:p>
      <w:r>
        <w:rPr>
          <w:b w:val="0"/>
          <w:i w:val="0"/>
          <w:color w:val="1A1A1A"/>
          <w:sz w:val="19"/>
        </w:rPr>
        <w:t>Control which modules the tenant has.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Settings → Marketplace: enable/disable modules.</w:t>
      </w:r>
    </w:p>
    <w:p>
      <w:pPr>
        <w:pStyle w:val="ListNumber"/>
      </w:pPr>
      <w:r>
        <w:rPr>
          <w:color w:val="1A1A1A"/>
          <w:sz w:val="19"/>
        </w:rPr>
        <w:t>Plans grant module entitlements at the platform level.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Align modules to the business; disabling a module hides its screens.</w:t>
      </w:r>
    </w:p>
    <w:p>
      <w:pPr>
        <w:pStyle w:val="Heading2"/>
      </w:pPr>
      <w:r>
        <w:rPr>
          <w:b/>
          <w:color w:val="1F2A44"/>
          <w:sz w:val="25"/>
        </w:rPr>
        <w:t>Branches &amp; Organization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Define the physical/organizational structure.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Settings → Branches/Regions/Organization.</w:t>
      </w:r>
    </w:p>
    <w:p>
      <w:pPr>
        <w:pStyle w:val="ListNumber"/>
      </w:pPr>
      <w:r>
        <w:rPr>
          <w:color w:val="1A1A1A"/>
          <w:sz w:val="19"/>
        </w:rPr>
        <w:t>Create branches &amp; warehouses; set HQ/default.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Set a default branch per user to avoid wrong-tenant landings.</w:t>
      </w:r>
    </w:p>
    <w:p>
      <w:pPr>
        <w:pStyle w:val="Heading2"/>
      </w:pPr>
      <w:r>
        <w:rPr>
          <w:b/>
          <w:color w:val="1F2A44"/>
          <w:sz w:val="25"/>
        </w:rPr>
        <w:t>Security &amp; Governance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r>
        <w:rPr>
          <w:b w:val="0"/>
          <w:i w:val="0"/>
          <w:color w:val="1A1A1A"/>
          <w:sz w:val="19"/>
        </w:rPr>
        <w:t>Action policies, audit and access governance.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Settings → Action Policies: require confirm/reason/audit on critical actions.</w:t>
      </w:r>
    </w:p>
    <w:p>
      <w:pPr>
        <w:pStyle w:val="ListNumber"/>
      </w:pPr>
      <w:r>
        <w:rPr>
          <w:color w:val="1A1A1A"/>
          <w:sz w:val="19"/>
        </w:rPr>
        <w:t>Settings → Audit Log / Authz console for review.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Enable Critical Actions for irreversible ops; review audit regularly; MFA/SSO are Roadmap.</w:t>
      </w:r>
    </w:p>
    <w:p>
      <w:pPr>
        <w:pStyle w:val="Heading2"/>
      </w:pPr>
      <w:r>
        <w:rPr>
          <w:b/>
          <w:color w:val="1F2A44"/>
          <w:sz w:val="25"/>
        </w:rPr>
        <w:t>Environment &amp; Deployment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Gap/Operational</w:t>
      </w:r>
    </w:p>
    <w:p>
      <w:r>
        <w:rPr>
          <w:b w:val="0"/>
          <w:i w:val="0"/>
          <w:color w:val="1A1A1A"/>
          <w:sz w:val="19"/>
        </w:rPr>
        <w:t>How the app is wired to its database (operator knowledge).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The app reads NEXT_PUBLIC_SUPABASE_URL/ANON_KEY (env) — set these per environment.</w:t>
      </w:r>
    </w:p>
    <w:p>
      <w:pPr>
        <w:pStyle w:val="ListNumber"/>
      </w:pPr>
      <w:r>
        <w:rPr>
          <w:color w:val="1A1A1A"/>
          <w:sz w:val="19"/>
        </w:rPr>
        <w:t>Engine screens require KAKO_* flags set + redeploy.</w:t>
      </w:r>
    </w:p>
    <w:p>
      <w:pPr>
        <w:pStyle w:val="ListNumber"/>
      </w:pPr>
      <w:r>
        <w:rPr>
          <w:color w:val="1A1A1A"/>
          <w:sz w:val="19"/>
        </w:rPr>
        <w:t>Preview vs Production are separate deployments/URLs.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Never rely on the code fallback; set env explicitly; verify the deployment targets the right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