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FMCG Distribution Operations Guide</w:t>
      </w:r>
    </w:p>
    <w:p>
      <w:pPr>
        <w:jc w:val="center"/>
      </w:pPr>
      <w:r>
        <w:rPr>
          <w:color w:val="555555"/>
          <w:sz w:val="24"/>
        </w:rPr>
        <w:t>Route, Van Sales, Trade Spend, Merchandising, Change Requests, Alerts</w:t>
      </w:r>
    </w:p>
    <w:p/>
    <w:p>
      <w:pPr>
        <w:jc w:val="center"/>
      </w:pPr>
      <w:r>
        <w:rPr>
          <w:i/>
          <w:color w:val="555555"/>
          <w:sz w:val="18"/>
        </w:rPr>
        <w:t>VANTORA Handbook — FMCG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FMCG Distribution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Built and in the codebase; lightly exercised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Complete and validated on demo tenants; usable in a controlled pilot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7"/>
              </w:rPr>
              <w:t>Production Ready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Hardened and data-proven for production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Planned; not yet built</w:t>
            </w:r>
          </w:p>
        </w:tc>
      </w:tr>
      <w:tr>
        <w:tc>
          <w:tcPr>
            <w:tcW w:type="dxa" w:w="2304"/>
            <w:shd w:val="clear" w:color="auto" w:fill="F8E3E3"/>
          </w:tcPr>
          <w:p>
            <w:r/>
            <w:r>
              <w:rPr>
                <w:sz w:val="17"/>
              </w:rPr>
              <w:t>Gap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Known missing capability</w:t>
            </w:r>
          </w:p>
        </w:tc>
      </w:tr>
    </w:tbl>
    <w:p>
      <w:r>
        <w:rPr>
          <w:b w:val="0"/>
          <w:i/>
          <w:color w:val="1A1A1A"/>
          <w:sz w:val="19"/>
        </w:rPr>
        <w:t>Activation prerequisite: the distribution engines require both the tenant module enabled AND the corresponding KAKO_* environment flag set, followed by a redeploy. Until then the engine pages are inert.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1. Route Management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r>
        <w:rPr>
          <w:b w:val="0"/>
          <w:i w:val="0"/>
          <w:color w:val="1A1A1A"/>
          <w:sz w:val="20"/>
        </w:rPr>
        <w:t>Plan territories &amp; routes, assign reps, build journey plans, and execute visits in sequence with coverage and journey-compliance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Who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Define routes/territories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Admin/Supervisor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Route master + territory map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Assign reps &amp; journeys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Supervisor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7"/>
              </w:rPr>
              <w:t>Daily journey plan per rep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Execute visits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Rep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Visit records (in/out, order/no-sale)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Approve exceptions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Supervisor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7"/>
              </w:rPr>
              <w:t>Out-of-route/day-close approvals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Monitor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Manager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Coverage %, compliance, territory intel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Route management / coverage dashboard</w:t>
            </w:r>
          </w:p>
        </w:tc>
      </w:tr>
    </w:tbl>
    <w:p>
      <w:pPr>
        <w:pStyle w:val="Heading1"/>
      </w:pPr>
      <w:r>
        <w:rPr>
          <w:b/>
          <w:color w:val="1F2A44"/>
          <w:sz w:val="32"/>
        </w:rPr>
        <w:t>2. Van Sales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Heading3"/>
      </w:pPr>
      <w:r>
        <w:rPr>
          <w:b/>
          <w:color w:val="1B4F9E"/>
          <w:sz w:val="22"/>
        </w:rPr>
        <w:t>Vehicle load</w:t>
      </w:r>
    </w:p>
    <w:p>
      <w:r>
        <w:rPr>
          <w:b w:val="0"/>
          <w:i w:val="0"/>
          <w:color w:val="1A1A1A"/>
          <w:sz w:val="19"/>
        </w:rPr>
        <w:t>Load stock to the van via load request or direct load; van stock is tracked.</w:t>
      </w:r>
    </w:p>
    <w:p>
      <w:pPr>
        <w:pStyle w:val="Heading3"/>
      </w:pPr>
      <w:r>
        <w:rPr>
          <w:b/>
          <w:color w:val="1B4F9E"/>
          <w:sz w:val="22"/>
        </w:rPr>
        <w:t>Selling</w:t>
      </w:r>
    </w:p>
    <w:p>
      <w:r>
        <w:rPr>
          <w:b w:val="0"/>
          <w:i w:val="0"/>
          <w:color w:val="1A1A1A"/>
          <w:sz w:val="19"/>
        </w:rPr>
        <w:t>Invoice at the outlet from van stock (mobile).</w:t>
      </w:r>
    </w:p>
    <w:p>
      <w:pPr>
        <w:pStyle w:val="Heading3"/>
      </w:pPr>
      <w:r>
        <w:rPr>
          <w:b/>
          <w:color w:val="1B4F9E"/>
          <w:sz w:val="22"/>
        </w:rPr>
        <w:t>Returns</w:t>
      </w:r>
    </w:p>
    <w:p>
      <w:r>
        <w:rPr>
          <w:b w:val="0"/>
          <w:i w:val="0"/>
          <w:color w:val="1A1A1A"/>
          <w:sz w:val="19"/>
        </w:rPr>
        <w:t>Accept returns back to van stock.</w:t>
      </w:r>
    </w:p>
    <w:p>
      <w:pPr>
        <w:pStyle w:val="Heading3"/>
      </w:pPr>
      <w:r>
        <w:rPr>
          <w:b/>
          <w:color w:val="1B4F9E"/>
          <w:sz w:val="22"/>
        </w:rPr>
        <w:t>Reconciliation</w:t>
      </w:r>
    </w:p>
    <w:p>
      <w:r>
        <w:rPr>
          <w:b w:val="0"/>
          <w:i w:val="0"/>
          <w:color w:val="1A1A1A"/>
          <w:sz w:val="19"/>
        </w:rPr>
        <w:t>Compare van inventory &amp; cash against the system.</w:t>
      </w:r>
    </w:p>
    <w:p>
      <w:pPr>
        <w:pStyle w:val="Heading3"/>
      </w:pPr>
      <w:r>
        <w:rPr>
          <w:b/>
          <w:color w:val="1B4F9E"/>
          <w:sz w:val="22"/>
        </w:rPr>
        <w:t>Close Day</w:t>
      </w:r>
    </w:p>
    <w:p>
      <w:r>
        <w:rPr>
          <w:b w:val="0"/>
          <w:i w:val="0"/>
          <w:color w:val="1A1A1A"/>
          <w:sz w:val="19"/>
        </w:rPr>
        <w:t>Settle the day; variances are flagged for the supervisor.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Van accounting / reconciliation</w:t>
            </w:r>
          </w:p>
        </w:tc>
      </w:tr>
    </w:tbl>
    <w:p>
      <w:pPr>
        <w:pStyle w:val="Heading1"/>
      </w:pPr>
      <w:r>
        <w:rPr>
          <w:b/>
          <w:color w:val="1F2A44"/>
          <w:sz w:val="32"/>
        </w:rPr>
        <w:t>3. Trade Spend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(Foundation; inert until enabled)</w:t>
      </w:r>
    </w:p>
    <w:p>
      <w:r>
        <w:rPr>
          <w:b w:val="0"/>
          <w:i w:val="0"/>
          <w:color w:val="1A1A1A"/>
          <w:sz w:val="20"/>
        </w:rPr>
        <w:t>Promotion lifecycle and the accrual/claim/ROI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03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Budget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Allocate trade budget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Budget envelope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Promotion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sz w:val="17"/>
              </w:rPr>
              <w:t>Define promo + cap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Promotion record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Approval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Route for funding approval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Approved promo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Funding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sz w:val="17"/>
              </w:rPr>
              <w:t>Commit funds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Funded promo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Claim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Customer/rep claim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Claim allocation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Accrual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sz w:val="17"/>
              </w:rPr>
              <w:t>Accrue liability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Accrued amount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ROI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Measure uplift vs spend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ROI/utilisation</w:t>
            </w:r>
          </w:p>
        </w:tc>
      </w:tr>
      <w:tr>
        <w:tc>
          <w:tcPr>
            <w:tcW w:type="dxa" w:w="1584"/>
            <w:shd w:val="clear" w:color="auto" w:fill="F2F4F8"/>
          </w:tcPr>
          <w:p>
            <w:r/>
            <w:r>
              <w:rPr>
                <w:sz w:val="17"/>
              </w:rPr>
              <w:t>Settlement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sz w:val="17"/>
              </w:rPr>
              <w:t>Settle claims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sz w:val="17"/>
              </w:rPr>
              <w:t>Closed promo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Trade spend dashboard (accrued / claimed / liability / ROI)</w:t>
            </w:r>
          </w:p>
        </w:tc>
      </w:tr>
    </w:tbl>
    <w:p>
      <w:pPr>
        <w:pStyle w:val="Heading1"/>
      </w:pPr>
      <w:r>
        <w:rPr>
          <w:b/>
          <w:color w:val="1F2A44"/>
          <w:sz w:val="32"/>
        </w:rPr>
        <w:t>4. Merchandising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ListBullet"/>
      </w:pPr>
      <w:r>
        <w:rPr>
          <w:b w:val="0"/>
          <w:color w:val="1A1A1A"/>
          <w:sz w:val="19"/>
        </w:rPr>
        <w:t>Perfect Store score</w:t>
      </w:r>
    </w:p>
    <w:p>
      <w:pPr>
        <w:pStyle w:val="ListBullet"/>
      </w:pPr>
      <w:r>
        <w:rPr>
          <w:b w:val="0"/>
          <w:color w:val="1A1A1A"/>
          <w:sz w:val="19"/>
        </w:rPr>
        <w:t>MSL compliance</w:t>
      </w:r>
    </w:p>
    <w:p>
      <w:pPr>
        <w:pStyle w:val="ListBullet"/>
      </w:pPr>
      <w:r>
        <w:rPr>
          <w:b w:val="0"/>
          <w:color w:val="1A1A1A"/>
          <w:sz w:val="19"/>
        </w:rPr>
        <w:t>Assortment audit</w:t>
      </w:r>
    </w:p>
    <w:p>
      <w:pPr>
        <w:pStyle w:val="ListBullet"/>
      </w:pPr>
      <w:r>
        <w:rPr>
          <w:b w:val="0"/>
          <w:color w:val="1A1A1A"/>
          <w:sz w:val="19"/>
        </w:rPr>
        <w:t>Photo capture</w:t>
      </w:r>
    </w:p>
    <w:p>
      <w:pPr>
        <w:pStyle w:val="ListBullet"/>
      </w:pPr>
      <w:r>
        <w:rPr>
          <w:b w:val="0"/>
          <w:color w:val="1A1A1A"/>
          <w:sz w:val="19"/>
        </w:rPr>
        <w:t>Outlet grading</w:t>
      </w:r>
    </w:p>
    <w:p>
      <w:pPr>
        <w:pStyle w:val="ListBullet"/>
      </w:pPr>
      <w:r>
        <w:rPr>
          <w:b w:val="0"/>
          <w:color w:val="1A1A1A"/>
          <w:sz w:val="19"/>
        </w:rPr>
        <w:t>Surveys</w:t>
      </w:r>
    </w:p>
    <w:p>
      <w:pPr>
        <w:pStyle w:val="ListBullet"/>
      </w:pPr>
      <w:r>
        <w:rPr>
          <w:b w:val="0"/>
          <w:color w:val="1A1A1A"/>
          <w:sz w:val="19"/>
        </w:rPr>
        <w:t>Execution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Perfect-store / MSL compliance</w:t>
            </w:r>
          </w:p>
        </w:tc>
      </w:tr>
    </w:tbl>
    <w:p>
      <w:pPr>
        <w:pStyle w:val="Heading1"/>
      </w:pPr>
      <w:r>
        <w:rPr>
          <w:b/>
          <w:color w:val="1F2A44"/>
          <w:sz w:val="32"/>
        </w:rPr>
        <w:t>5. Change Requests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r>
        <w:rPr>
          <w:b w:val="0"/>
          <w:i w:val="0"/>
          <w:color w:val="1A1A1A"/>
          <w:sz w:val="20"/>
        </w:rPr>
        <w:t>Governed master-data changes — Customer Data, GPS, VAT, Credit — each routed through an approval chain and audited.</w:t>
      </w:r>
    </w:p>
    <w:p>
      <w:pPr>
        <w:pStyle w:val="Heading1"/>
      </w:pPr>
      <w:r>
        <w:rPr>
          <w:b/>
          <w:color w:val="1F2A44"/>
          <w:sz w:val="32"/>
        </w:rPr>
        <w:t>6. Critical Alerts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ListBullet"/>
      </w:pPr>
      <w:r>
        <w:rPr>
          <w:b w:val="0"/>
          <w:color w:val="1A1A1A"/>
          <w:sz w:val="19"/>
        </w:rPr>
        <w:t>Out of Stock</w:t>
      </w:r>
    </w:p>
    <w:p>
      <w:pPr>
        <w:pStyle w:val="ListBullet"/>
      </w:pPr>
      <w:r>
        <w:rPr>
          <w:b w:val="0"/>
          <w:color w:val="1A1A1A"/>
          <w:sz w:val="19"/>
        </w:rPr>
        <w:t>Credit Risk</w:t>
      </w:r>
    </w:p>
    <w:p>
      <w:pPr>
        <w:pStyle w:val="ListBullet"/>
      </w:pPr>
      <w:r>
        <w:rPr>
          <w:b w:val="0"/>
          <w:color w:val="1A1A1A"/>
          <w:sz w:val="19"/>
        </w:rPr>
        <w:t>Collection Delays</w:t>
      </w:r>
    </w:p>
    <w:p>
      <w:pPr>
        <w:pStyle w:val="ListBullet"/>
      </w:pPr>
      <w:r>
        <w:rPr>
          <w:b w:val="0"/>
          <w:color w:val="1A1A1A"/>
          <w:sz w:val="19"/>
        </w:rPr>
        <w:t>Route Exceptions</w:t>
      </w:r>
    </w:p>
    <w:p>
      <w:pPr>
        <w:pStyle w:val="ListBullet"/>
      </w:pPr>
      <w:r>
        <w:rPr>
          <w:b w:val="0"/>
          <w:color w:val="1A1A1A"/>
          <w:sz w:val="19"/>
        </w:rPr>
        <w:t>Inventory Exceptions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