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SOP-02: Create Product</w:t>
      </w:r>
    </w:p>
    <w:p>
      <w:pPr>
        <w:jc w:val="center"/>
      </w:pPr>
      <w:r>
        <w:rPr>
          <w:color w:val="555555"/>
          <w:sz w:val="24"/>
        </w:rPr>
        <w:t>Standard Operating Procedure</w:t>
      </w:r>
    </w:p>
    <w:p/>
    <w:p>
      <w:pPr>
        <w:jc w:val="center"/>
      </w:pPr>
      <w:r>
        <w:rPr>
          <w:i/>
          <w:color w:val="555555"/>
          <w:sz w:val="18"/>
        </w:rPr>
        <w:t>VANTORA Handbook — SOP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SOP-02 — Create Product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2"/>
      </w:pPr>
      <w:r>
        <w:rPr>
          <w:b/>
          <w:color w:val="1F2A44"/>
          <w:sz w:val="25"/>
        </w:rPr>
        <w:t>Objective</w:t>
      </w:r>
    </w:p>
    <w:p>
      <w:r>
        <w:rPr>
          <w:b w:val="0"/>
          <w:i w:val="0"/>
          <w:color w:val="1A1A1A"/>
          <w:sz w:val="20"/>
        </w:rPr>
        <w:t>Perform 'Create Product' correctly and consistently in the Products module.</w:t>
      </w:r>
    </w:p>
    <w:p>
      <w:pPr>
        <w:pStyle w:val="Heading2"/>
      </w:pPr>
      <w:r>
        <w:rPr>
          <w:b/>
          <w:color w:val="1F2A44"/>
          <w:sz w:val="25"/>
        </w:rPr>
        <w:t>Responsible Role</w:t>
      </w:r>
    </w:p>
    <w:p>
      <w:r>
        <w:rPr>
          <w:b w:val="0"/>
          <w:i w:val="0"/>
          <w:color w:val="1A1A1A"/>
          <w:sz w:val="20"/>
        </w:rPr>
        <w:t>Company Admin / Procurement / Pharmacist</w:t>
      </w:r>
    </w:p>
    <w:p>
      <w:pPr>
        <w:pStyle w:val="Heading2"/>
      </w:pPr>
      <w:r>
        <w:rPr>
          <w:b/>
          <w:color w:val="1F2A44"/>
          <w:sz w:val="25"/>
        </w:rPr>
        <w:t>Steps</w:t>
      </w:r>
    </w:p>
    <w:p>
      <w:pPr>
        <w:pStyle w:val="ListNumber"/>
      </w:pPr>
      <w:r>
        <w:rPr>
          <w:color w:val="1A1A1A"/>
          <w:sz w:val="19"/>
        </w:rPr>
        <w:t>Open Products → New, or (pharmacy) Add Medicines from the Egyptian catalog.</w:t>
      </w:r>
    </w:p>
    <w:p>
      <w:pPr>
        <w:pStyle w:val="ListNumber"/>
      </w:pPr>
      <w:r>
        <w:rPr>
          <w:color w:val="1A1A1A"/>
          <w:sz w:val="19"/>
        </w:rPr>
        <w:t>Set code, name (ar/en), unit(s), sell/cost price, min stock, tax.</w:t>
      </w:r>
    </w:p>
    <w:p>
      <w:pPr>
        <w:pStyle w:val="ListNumber"/>
      </w:pPr>
      <w:r>
        <w:rPr>
          <w:color w:val="1A1A1A"/>
          <w:sz w:val="19"/>
        </w:rPr>
        <w:t>Optionally mark controlled (pharmacy) or set barcode.</w:t>
      </w:r>
    </w:p>
    <w:p>
      <w:pPr>
        <w:pStyle w:val="ListNumber"/>
      </w:pPr>
      <w:r>
        <w:rPr>
          <w:color w:val="1A1A1A"/>
          <w:sz w:val="19"/>
        </w:rPr>
        <w:t>Save.</w:t>
      </w:r>
    </w:p>
    <w:p>
      <w:pPr>
        <w:pStyle w:val="Heading2"/>
      </w:pPr>
      <w:r>
        <w:rPr>
          <w:b/>
          <w:color w:val="1F2A44"/>
          <w:sz w:val="25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None by default; pricing changes may require approval if configured.</w:t>
      </w:r>
    </w:p>
    <w:p>
      <w:pPr>
        <w:pStyle w:val="Heading2"/>
      </w:pPr>
      <w:r>
        <w:rPr>
          <w:b/>
          <w:color w:val="1F2A44"/>
          <w:sz w:val="25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 catalog product ready for stock receipt and sale.</w:t>
      </w:r>
    </w:p>
    <w:p>
      <w:pPr>
        <w:pStyle w:val="Heading2"/>
      </w:pPr>
      <w:r>
        <w:rPr>
          <w:b/>
          <w:color w:val="1F2A44"/>
          <w:sz w:val="25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Barcode-required tenants block save without a barcode. Multi-unit needs unit factors.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